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140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212"/>
        <w:gridCol w:w="3857"/>
        <w:gridCol w:w="5331"/>
      </w:tblGrid>
      <w:tr>
        <w:trPr>
          <w:trHeight w:val="300" w:hRule="atLeast"/>
        </w:trPr>
        <w:tc>
          <w:tcPr>
            <w:tcW w:w="221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/>
                <w:b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</w:r>
          </w:p>
        </w:tc>
        <w:tc>
          <w:tcPr>
            <w:tcW w:w="9188" w:type="dxa"/>
            <w:gridSpan w:val="2"/>
            <w:tcBorders>
              <w:bottom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center"/>
              <w:rPr/>
            </w:pPr>
            <w:r>
              <w:rPr>
                <w:rFonts w:ascii="FreeSans" w:hAnsi="FreeSans"/>
                <w:b/>
                <w:color w:val="8368AB"/>
                <w:sz w:val="24"/>
                <w:szCs w:val="24"/>
              </w:rPr>
              <w:t>ULTRA LEVURE</w:t>
            </w:r>
          </w:p>
        </w:tc>
      </w:tr>
      <w:tr>
        <w:trPr>
          <w:trHeight w:val="597" w:hRule="atLeast"/>
        </w:trPr>
        <w:tc>
          <w:tcPr>
            <w:tcW w:w="221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142" w:leader="none"/>
              </w:tabs>
              <w:bidi w:val="0"/>
              <w:spacing w:before="57" w:after="57"/>
              <w:jc w:val="left"/>
              <w:rPr>
                <w:rFonts w:ascii="FreeSans" w:hAnsi="FreeSans"/>
                <w:b/>
                <w:b/>
                <w:sz w:val="18"/>
                <w:szCs w:val="18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* UFC = Unité formant colonie</w:t>
            </w:r>
          </w:p>
        </w:tc>
        <w:tc>
          <w:tcPr>
            <w:tcW w:w="91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sz w:val="18"/>
                <w:szCs w:val="18"/>
              </w:rPr>
              <w:t xml:space="preserve">Un </w:t>
            </w:r>
            <w:r>
              <w:rPr>
                <w:rFonts w:ascii="FreeSans" w:hAnsi="FreeSans"/>
                <w:color w:val="8368AB"/>
                <w:sz w:val="18"/>
                <w:szCs w:val="18"/>
              </w:rPr>
              <w:t>PROBIOTIQUE</w:t>
            </w:r>
            <w:r>
              <w:rPr>
                <w:rFonts w:ascii="FreeSans" w:hAnsi="FreeSans"/>
                <w:color w:val="E94F81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sz w:val="18"/>
                <w:szCs w:val="18"/>
              </w:rPr>
              <w:t>contient des micro-organismes vivants qui, lorsqu’ils sont administrés en quantité adéquate, produisent un effet bénéfique pour la santé de l‘homme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U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LTRA-LEVURE</w:t>
            </w:r>
            <w:r>
              <w:rPr>
                <w:rFonts w:ascii="FreeSans" w:hAnsi="FreeSans"/>
                <w:sz w:val="18"/>
                <w:szCs w:val="18"/>
              </w:rPr>
              <w:t xml:space="preserve"> (Saccharomyces boulardii CNCM I-745) est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sz w:val="18"/>
                <w:szCs w:val="18"/>
              </w:rPr>
              <w:tab/>
              <w:t xml:space="preserve">• un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MÉDICAMENT</w:t>
            </w:r>
            <w:r>
              <w:rPr>
                <w:rFonts w:ascii="FreeSans" w:hAnsi="FreeSans"/>
                <w:color w:val="8368AB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PROBIOTIQUE</w:t>
            </w:r>
            <w:r>
              <w:rPr>
                <w:rFonts w:ascii="FreeSans" w:hAnsi="FreeSans"/>
                <w:color w:val="8368AB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sz w:val="18"/>
                <w:szCs w:val="18"/>
              </w:rPr>
              <w:br/>
              <w:tab/>
              <w:t xml:space="preserve">• qui a fait l’objet 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>d’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études</w:t>
            </w:r>
            <w:r>
              <w:rPr>
                <w:rFonts w:ascii="FreeSans" w:hAnsi="FreeSans"/>
                <w:color w:val="8368AB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pharmacologiques</w:t>
            </w:r>
            <w:r>
              <w:rPr>
                <w:rFonts w:ascii="FreeSans" w:hAnsi="FreeSans"/>
                <w:sz w:val="18"/>
                <w:szCs w:val="18"/>
              </w:rPr>
              <w:t xml:space="preserve"> et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cliniques</w:t>
            </w:r>
          </w:p>
        </w:tc>
      </w:tr>
      <w:tr>
        <w:trPr>
          <w:trHeight w:val="398" w:hRule="atLeast"/>
        </w:trPr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DESCRIPTION</w:t>
            </w:r>
          </w:p>
        </w:tc>
        <w:tc>
          <w:tcPr>
            <w:tcW w:w="91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  <w:tab w:val="left" w:pos="142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Saccharomyces</w:t>
            </w:r>
            <w:r>
              <w:rPr>
                <w:rFonts w:ascii="FreeSans" w:hAnsi="FreeSans"/>
                <w:color w:val="8368AB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boulardii</w:t>
            </w:r>
            <w:r>
              <w:rPr>
                <w:rFonts w:ascii="FreeSans" w:hAnsi="FreeSans"/>
                <w:sz w:val="18"/>
                <w:szCs w:val="18"/>
              </w:rPr>
              <w:t xml:space="preserve"> 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sz w:val="18"/>
                <w:szCs w:val="18"/>
              </w:rPr>
              <w:tab/>
              <w:t xml:space="preserve">•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LEVURE</w:t>
            </w:r>
            <w:r>
              <w:rPr>
                <w:rFonts w:ascii="FreeSans" w:hAnsi="FreeSans"/>
                <w:color w:val="8368AB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sz w:val="18"/>
                <w:szCs w:val="18"/>
              </w:rPr>
              <w:t xml:space="preserve">= champignon unicellulaire de forme ovoïde </w:t>
              <w:br/>
              <w:tab/>
              <w:t xml:space="preserve">•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Sb</w:t>
            </w:r>
            <w:r>
              <w:rPr>
                <w:rFonts w:ascii="FreeSans" w:hAnsi="FreeSans"/>
                <w:color w:val="8368AB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sz w:val="18"/>
                <w:szCs w:val="18"/>
              </w:rPr>
              <w:t>n’est pas pathogène</w:t>
            </w:r>
          </w:p>
        </w:tc>
      </w:tr>
      <w:tr>
        <w:trPr>
          <w:trHeight w:val="398" w:hRule="atLeast"/>
        </w:trPr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TEMPÉRATURE OPTIMALE</w:t>
            </w:r>
          </w:p>
        </w:tc>
        <w:tc>
          <w:tcPr>
            <w:tcW w:w="91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sz w:val="18"/>
                <w:szCs w:val="18"/>
              </w:rPr>
              <w:t xml:space="preserve">Température de développement :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37°C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bCs/>
                <w:sz w:val="18"/>
                <w:szCs w:val="18"/>
              </w:rPr>
              <w:t xml:space="preserve">Ultra-haute température </w:t>
            </w:r>
            <w:r>
              <w:rPr>
                <w:rFonts w:ascii="FreeSans" w:hAnsi="FreeSans"/>
                <w:b/>
                <w:bCs/>
                <w:color w:val="BF0041"/>
                <w:sz w:val="18"/>
                <w:szCs w:val="18"/>
                <w:shd w:fill="FFFF00" w:val="clear"/>
              </w:rPr>
              <w:t>(?)</w:t>
            </w:r>
            <w:r>
              <w:rPr>
                <w:rFonts w:ascii="FreeSans" w:hAnsi="FreeSans"/>
                <w:sz w:val="18"/>
                <w:szCs w:val="18"/>
              </w:rPr>
              <w:t xml:space="preserve"> contrairement aux autres Saccharomyces</w:t>
              <w:br/>
              <w:t>d’où le nom SACCHAROMYCES BOULARDII</w:t>
            </w:r>
          </w:p>
        </w:tc>
      </w:tr>
      <w:tr>
        <w:trPr>
          <w:trHeight w:val="398" w:hRule="atLeast"/>
        </w:trPr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LYOPHILISATION</w:t>
            </w:r>
          </w:p>
        </w:tc>
        <w:tc>
          <w:tcPr>
            <w:tcW w:w="91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162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sz w:val="18"/>
                <w:szCs w:val="18"/>
              </w:rPr>
              <w:t>Procédé de stabilisation de la levure en conservant sa viabilité</w:t>
              <w:br/>
              <w:tab/>
              <w:t>• Déshydratation à faible température et faible pression</w:t>
            </w:r>
          </w:p>
        </w:tc>
      </w:tr>
      <w:tr>
        <w:trPr>
          <w:trHeight w:val="976" w:hRule="atLeast"/>
        </w:trPr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PHARMACOCINÉTIQUE</w:t>
            </w:r>
          </w:p>
        </w:tc>
        <w:tc>
          <w:tcPr>
            <w:tcW w:w="91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54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bCs/>
                <w:sz w:val="18"/>
                <w:szCs w:val="18"/>
              </w:rPr>
              <w:t>L</w:t>
            </w:r>
            <w:r>
              <w:rPr>
                <w:rFonts w:ascii="FreeSans" w:hAnsi="FreeSans"/>
                <w:b/>
                <w:bCs/>
                <w:sz w:val="18"/>
                <w:szCs w:val="18"/>
              </w:rPr>
              <w:t>evure</w:t>
            </w:r>
            <w:r>
              <w:rPr>
                <w:rFonts w:ascii="FreeSans" w:hAnsi="FreeSans"/>
                <w:b/>
                <w:bCs/>
                <w:sz w:val="18"/>
                <w:szCs w:val="18"/>
              </w:rPr>
              <w:br/>
              <w:tab/>
            </w:r>
            <w:r>
              <w:rPr>
                <w:rFonts w:ascii="FreeSans" w:hAnsi="FreeSans"/>
                <w:sz w:val="18"/>
                <w:szCs w:val="18"/>
              </w:rPr>
              <w:t>• Reste vivante pendant tout son parcours dans le tube digestif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185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sz w:val="18"/>
                <w:szCs w:val="18"/>
              </w:rPr>
              <w:t xml:space="preserve">Après ingestion de 500 mg x 2 / j de Saccharomyces boulardii pdt 14 j :  </w:t>
              <w:br/>
              <w:tab/>
              <w:t>• Etat d’équilibre au 3ème jour : 10</w:t>
            </w:r>
            <w:r>
              <w:rPr>
                <w:rFonts w:ascii="FreeSans" w:hAnsi="FreeSans"/>
                <w:sz w:val="18"/>
                <w:szCs w:val="18"/>
                <w:vertAlign w:val="superscript"/>
              </w:rPr>
              <w:t>8</w:t>
            </w:r>
            <w:r>
              <w:rPr>
                <w:rFonts w:ascii="FreeSans" w:hAnsi="FreeSans"/>
                <w:sz w:val="18"/>
                <w:szCs w:val="18"/>
              </w:rPr>
              <w:t xml:space="preserve"> cellules vivantes éliminées / 24h </w:t>
              <w:br/>
              <w:tab/>
              <w:t>• Demi-vie : 6h</w:t>
            </w:r>
          </w:p>
        </w:tc>
      </w:tr>
      <w:tr>
        <w:trPr>
          <w:trHeight w:val="2036" w:hRule="atLeast"/>
        </w:trPr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PROPRIÉTÉS</w:t>
            </w:r>
          </w:p>
        </w:tc>
        <w:tc>
          <w:tcPr>
            <w:tcW w:w="91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180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EFFET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BARRIÈRE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contre l’implantation de Candida albicans.</w:t>
              <w:br/>
              <w:tab/>
              <w:t xml:space="preserve">• L’acide caprique inhibe filamentation, adhésion et formation d’un biofilm avec Candida albicans </w:t>
              <w:br/>
              <w:tab/>
              <w:t>• Sb maintient l’intégrité de la barrière intestinale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10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EFFET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ANTI TOXINE£</w:t>
              <w:br/>
              <w:tab/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>Effet sur les agents entéropathogenes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br/>
              <w:tab/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>• libère une protéase qui lyse les toxines A et B de Clostridium difficile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190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EFFET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IMMUNOSTIMULANT</w:t>
              <w:br/>
              <w:tab/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>• stimulation de la production d’IgA sécrétoires et du composant sécrétoire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190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EFFET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STIMULANT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DE L’ACTIVITÉ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ENZYMATIQUE</w:t>
              <w:br/>
              <w:tab/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>• accroissement de l’activité spécifique des disaccharidases</w:t>
            </w:r>
          </w:p>
        </w:tc>
      </w:tr>
      <w:tr>
        <w:trPr>
          <w:trHeight w:val="256" w:hRule="atLeast"/>
        </w:trPr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INDICATIONS</w:t>
            </w:r>
          </w:p>
        </w:tc>
        <w:tc>
          <w:tcPr>
            <w:tcW w:w="91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Traitement symptomatique</w:t>
            </w:r>
            <w:r>
              <w:rPr>
                <w:rFonts w:ascii="FreeSans" w:hAnsi="FreeSans"/>
                <w:sz w:val="18"/>
                <w:szCs w:val="18"/>
              </w:rPr>
              <w:t xml:space="preserve"> d’appoint de la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diarrhée</w:t>
            </w:r>
            <w:r>
              <w:rPr>
                <w:rFonts w:ascii="FreeSans" w:hAnsi="FreeSans"/>
                <w:sz w:val="18"/>
                <w:szCs w:val="18"/>
              </w:rPr>
              <w:t>, en complément de la réhydratation.</w:t>
            </w:r>
          </w:p>
        </w:tc>
      </w:tr>
      <w:tr>
        <w:trPr>
          <w:trHeight w:val="398" w:hRule="atLeast"/>
        </w:trPr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CONTRE-INDICATIONS</w:t>
            </w:r>
          </w:p>
        </w:tc>
        <w:tc>
          <w:tcPr>
            <w:tcW w:w="91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sz w:val="18"/>
                <w:szCs w:val="18"/>
              </w:rPr>
              <w:t xml:space="preserve">En cas de port de cathéter veineux central. </w:t>
              <w:br/>
              <w:t>En cas d’immunodéficience</w:t>
            </w:r>
          </w:p>
        </w:tc>
      </w:tr>
      <w:tr>
        <w:trPr>
          <w:trHeight w:val="480" w:hRule="atLeast"/>
        </w:trPr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GROSSESSE ET ALLAITEMENT</w:t>
            </w:r>
          </w:p>
        </w:tc>
        <w:tc>
          <w:tcPr>
            <w:tcW w:w="91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sz w:val="18"/>
                <w:szCs w:val="18"/>
              </w:rPr>
              <w:t>Par mesure de précautions, ne pas administrer à la femme enceinte</w:t>
            </w:r>
          </w:p>
        </w:tc>
      </w:tr>
      <w:tr>
        <w:trPr>
          <w:trHeight w:val="627" w:hRule="atLeast"/>
        </w:trPr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INTERACTIONS MÉDICAMENTEUSES</w:t>
            </w:r>
          </w:p>
        </w:tc>
        <w:tc>
          <w:tcPr>
            <w:tcW w:w="91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b/>
                <w:b/>
                <w:bCs/>
                <w:color w:val="8368AB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Ne pas associer à un antifongique oral ou systémique</w:t>
            </w:r>
          </w:p>
        </w:tc>
      </w:tr>
      <w:tr>
        <w:trPr>
          <w:trHeight w:val="1417" w:hRule="atLeast"/>
        </w:trPr>
        <w:tc>
          <w:tcPr>
            <w:tcW w:w="22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sz w:val="18"/>
                <w:szCs w:val="18"/>
              </w:rPr>
              <w:t>FORMES ET PRÉSENTATIONS</w:t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  <w:tab w:val="left" w:pos="142" w:leader="none"/>
              </w:tabs>
              <w:bidi w:val="0"/>
              <w:spacing w:before="57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00A180"/>
                <w:sz w:val="20"/>
                <w:szCs w:val="20"/>
              </w:rPr>
              <w:t>ULTRA-LEVURE 50 mg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gélules ouvrables</w:t>
              <w:br/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[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1 gélule = </w:t>
            </w:r>
            <w:r>
              <w:rPr>
                <w:rFonts w:ascii="FreeSans" w:hAnsi="FreeSans"/>
                <w:b w:val="false"/>
                <w:bCs w:val="false"/>
                <w:color w:val="00A180"/>
                <w:sz w:val="16"/>
                <w:szCs w:val="16"/>
              </w:rPr>
              <w:t>10</w:t>
            </w:r>
            <w:r>
              <w:rPr>
                <w:rFonts w:ascii="FreeSans" w:hAnsi="FreeSans"/>
                <w:b w:val="false"/>
                <w:bCs w:val="false"/>
                <w:color w:val="00A180"/>
                <w:sz w:val="16"/>
                <w:szCs w:val="16"/>
                <w:vertAlign w:val="superscript"/>
              </w:rPr>
              <w:t>9</w:t>
            </w:r>
            <w:r>
              <w:rPr>
                <w:rFonts w:ascii="FreeSans" w:hAnsi="FreeSans"/>
                <w:b w:val="false"/>
                <w:bCs w:val="false"/>
                <w:color w:val="00A180"/>
                <w:sz w:val="16"/>
                <w:szCs w:val="16"/>
              </w:rPr>
              <w:t xml:space="preserve"> levures vivantes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]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83" w:leader="none"/>
                <w:tab w:val="left" w:pos="410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Webdings" w:hAnsi="Webding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A180"/>
                <w:sz w:val="28"/>
                <w:szCs w:val="28"/>
                <w:u w:val="none"/>
                <w:em w:val="none"/>
              </w:rPr>
              <w:t></w:t>
            </w:r>
            <w:r>
              <w:rPr>
                <w:rFonts w:ascii="Webdings" w:hAnsi="Webding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EB5585"/>
                <w:sz w:val="28"/>
                <w:szCs w:val="28"/>
                <w:u w:val="none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Boite de </w:t>
            </w:r>
            <w:r>
              <w:rPr>
                <w:rFonts w:ascii="FreeSans" w:hAnsi="FreeSans"/>
                <w:b/>
                <w:bCs/>
                <w:color w:val="00A180"/>
                <w:sz w:val="18"/>
                <w:szCs w:val="18"/>
              </w:rPr>
              <w:t>20 sachets</w:t>
            </w:r>
            <w:r>
              <w:rPr>
                <w:rFonts w:ascii="FreeSans" w:hAnsi="FreeSans"/>
                <w:b w:val="false"/>
                <w:bCs w:val="false"/>
                <w:color w:val="00A180"/>
                <w:sz w:val="18"/>
                <w:szCs w:val="18"/>
              </w:rPr>
              <w:br/>
            </w:r>
            <w:r>
              <w:rPr>
                <w:rFonts w:ascii="Webdings" w:hAnsi="Webding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A180"/>
                <w:sz w:val="28"/>
                <w:szCs w:val="28"/>
                <w:u w:val="none"/>
                <w:shd w:fill="auto" w:val="clear"/>
                <w:em w:val="none"/>
              </w:rPr>
              <w:t></w:t>
            </w:r>
            <w:r>
              <w:rPr>
                <w:rFonts w:ascii="Webdings" w:hAnsi="Webding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EB5585"/>
                <w:sz w:val="28"/>
                <w:szCs w:val="28"/>
                <w:u w:val="none"/>
                <w:shd w:fill="auto" w:val="clear"/>
                <w:em w:val="none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PVC </w:t>
            </w:r>
            <w:r>
              <w:rPr>
                <w:rFonts w:ascii="FreeSans" w:hAnsi="FreeSans"/>
                <w:b/>
                <w:bCs/>
                <w:color w:val="00A180"/>
                <w:sz w:val="18"/>
                <w:szCs w:val="18"/>
              </w:rPr>
              <w:t>~ 5,00 €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  <w:tab w:val="left" w:pos="142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bCs/>
                <w:color w:val="8368AB"/>
                <w:sz w:val="20"/>
                <w:szCs w:val="20"/>
              </w:rPr>
              <w:t>ULTRA-LEVURE 200 mg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gélules ouvrables</w:t>
              <w:br/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[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1 gélule =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4.10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  <w:vertAlign w:val="superscript"/>
              </w:rPr>
              <w:t>9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levures vivantes (4 milliards)]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</w:tabs>
              <w:bidi w:val="0"/>
              <w:spacing w:before="57" w:after="57"/>
              <w:jc w:val="left"/>
              <w:rPr>
                <w:rFonts w:ascii="FreeSans" w:hAnsi="FreeSans"/>
                <w:b/>
                <w:b/>
                <w:bCs/>
                <w:color w:val="8368AB"/>
                <w:sz w:val="18"/>
                <w:szCs w:val="18"/>
              </w:rPr>
            </w:pP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Réservé à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adulte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et à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enfant &gt; 6 ans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83" w:leader="none"/>
                <w:tab w:val="left" w:pos="2435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Webdings" w:hAnsi="Webding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8368AB"/>
                <w:sz w:val="28"/>
                <w:szCs w:val="28"/>
                <w:u w:val="none"/>
                <w:em w:val="none"/>
              </w:rPr>
              <w:t xml:space="preserve"> 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Boite de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10 gélules</w:t>
              <w:tab/>
            </w:r>
            <w:r>
              <w:rPr>
                <w:rFonts w:ascii="Webdings" w:hAnsi="Webding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8368AB"/>
                <w:sz w:val="28"/>
                <w:szCs w:val="28"/>
                <w:u w:val="none"/>
                <w:em w:val="none"/>
              </w:rPr>
              <w:t xml:space="preserve"> 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Boite de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30 gélules</w:t>
              <w:br/>
            </w:r>
            <w:r>
              <w:rPr>
                <w:rFonts w:ascii="Webdings" w:hAnsi="Webding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8368AB"/>
                <w:sz w:val="28"/>
                <w:szCs w:val="28"/>
                <w:u w:val="none"/>
                <w:shd w:fill="auto" w:val="clear"/>
                <w:em w:val="none"/>
              </w:rPr>
              <w:t xml:space="preserve"> 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PVC </w:t>
            </w:r>
            <w:r>
              <w:rPr>
                <w:rFonts w:ascii="FreeSans" w:hAnsi="FreeSans"/>
                <w:b w:val="false"/>
                <w:bCs w:val="false"/>
                <w:color w:val="8368AB"/>
                <w:sz w:val="18"/>
                <w:szCs w:val="18"/>
              </w:rPr>
              <w:t xml:space="preserve">~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5,00 €</w:t>
              <w:tab/>
            </w:r>
            <w:r>
              <w:rPr>
                <w:rFonts w:ascii="Webdings" w:hAnsi="Webding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8368AB"/>
                <w:sz w:val="28"/>
                <w:szCs w:val="28"/>
                <w:u w:val="none"/>
                <w:shd w:fill="auto" w:val="clear"/>
                <w:em w:val="none"/>
              </w:rPr>
              <w:t xml:space="preserve"> 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PVC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 xml:space="preserve">~ 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10</w:t>
            </w:r>
            <w:r>
              <w:rPr>
                <w:rFonts w:ascii="FreeSans" w:hAnsi="FreeSans"/>
                <w:b/>
                <w:bCs/>
                <w:color w:val="8368AB"/>
                <w:sz w:val="18"/>
                <w:szCs w:val="18"/>
              </w:rPr>
              <w:t>,00 €</w:t>
            </w:r>
          </w:p>
        </w:tc>
      </w:tr>
      <w:tr>
        <w:trPr>
          <w:trHeight w:val="1913" w:hRule="atLeast"/>
        </w:trPr>
        <w:tc>
          <w:tcPr>
            <w:tcW w:w="2212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  <w:tab w:val="left" w:pos="142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bCs/>
                <w:color w:val="E94F81"/>
                <w:sz w:val="20"/>
                <w:szCs w:val="20"/>
              </w:rPr>
              <w:t>ULTRA-LEVURE 100 mg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sachets</w:t>
              <w:br/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[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1 sachet =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2.10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  <w:vertAlign w:val="superscript"/>
              </w:rPr>
              <w:t>9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levures vivantes (2 milliards)]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83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Réservé à </w:t>
            </w:r>
            <w:r>
              <w:rPr>
                <w:rFonts w:ascii="FreeSans" w:hAnsi="FreeSans"/>
                <w:b/>
                <w:bCs/>
                <w:color w:val="E94F81"/>
                <w:sz w:val="18"/>
                <w:szCs w:val="18"/>
              </w:rPr>
              <w:t>adulte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et à </w:t>
            </w:r>
            <w:r>
              <w:rPr>
                <w:rFonts w:ascii="FreeSans" w:hAnsi="FreeSans"/>
                <w:b/>
                <w:bCs/>
                <w:color w:val="E94F81"/>
                <w:sz w:val="18"/>
                <w:szCs w:val="18"/>
              </w:rPr>
              <w:t>enfant &gt; 2 ans</w:t>
              <w:br/>
            </w:r>
            <w:r>
              <w:rPr>
                <w:rFonts w:eastAsia="Webdings" w:cs="Webdings" w:ascii="Webdings" w:hAnsi="Webdings"/>
                <w:b/>
                <w:bCs/>
                <w:color w:val="EB5585"/>
                <w:spacing w:val="-8"/>
                <w:kern w:val="0"/>
                <w:sz w:val="18"/>
                <w:szCs w:val="18"/>
                <w:shd w:fill="auto" w:val="clear"/>
              </w:rPr>
              <w:t></w:t>
            </w:r>
            <w:r>
              <w:rPr>
                <w:rFonts w:ascii="FreeSans" w:hAnsi="FreeSans"/>
                <w:b/>
                <w:bCs/>
                <w:color w:val="E94F81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enfant &lt; 2 ans n’est pas une contre-indication)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83" w:leader="none"/>
                <w:tab w:val="left" w:pos="410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Webdings" w:hAnsi="Webding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EB5585"/>
                <w:sz w:val="28"/>
                <w:szCs w:val="28"/>
                <w:u w:val="none"/>
                <w:em w:val="none"/>
              </w:rPr>
              <w:t>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Boite de </w:t>
            </w:r>
            <w:r>
              <w:rPr>
                <w:rFonts w:ascii="FreeSans" w:hAnsi="FreeSans"/>
                <w:b/>
                <w:bCs/>
                <w:color w:val="E94F81"/>
                <w:sz w:val="18"/>
                <w:szCs w:val="18"/>
              </w:rPr>
              <w:t>20 sachets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br/>
            </w:r>
            <w:r>
              <w:rPr>
                <w:rFonts w:ascii="Webdings" w:hAnsi="Webding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EB5585"/>
                <w:sz w:val="28"/>
                <w:szCs w:val="28"/>
                <w:u w:val="none"/>
                <w:shd w:fill="auto" w:val="clear"/>
                <w:em w:val="none"/>
              </w:rPr>
              <w:t>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PVC </w:t>
            </w:r>
            <w:r>
              <w:rPr>
                <w:rFonts w:ascii="FreeSans" w:hAnsi="FreeSans"/>
                <w:b/>
                <w:bCs/>
                <w:color w:val="E94F81"/>
                <w:sz w:val="18"/>
                <w:szCs w:val="18"/>
              </w:rPr>
              <w:t>~ 5,00 €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/>
                <w:bCs/>
                <w:color w:val="EF8A14"/>
                <w:sz w:val="20"/>
                <w:szCs w:val="20"/>
              </w:rPr>
              <w:t>ULTRA-BABY</w:t>
            </w:r>
            <w:r>
              <w:rPr>
                <w:rFonts w:ascii="FreeSans" w:hAnsi="FreeSans"/>
                <w:b/>
                <w:bCs/>
                <w:color w:val="EF8A14"/>
                <w:sz w:val="18"/>
                <w:szCs w:val="18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>(</w:t>
            </w:r>
            <w:r>
              <w:rPr>
                <w:rFonts w:ascii="FreeSans" w:hAnsi="FreeSans"/>
                <w:b/>
                <w:bCs/>
                <w:color w:val="auto"/>
                <w:sz w:val="14"/>
                <w:szCs w:val="14"/>
              </w:rPr>
              <w:t>A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 xml:space="preserve">liment </w:t>
            </w:r>
            <w:r>
              <w:rPr>
                <w:rFonts w:ascii="FreeSans" w:hAnsi="FreeSans"/>
                <w:b/>
                <w:bCs/>
                <w:color w:val="auto"/>
                <w:sz w:val="14"/>
                <w:szCs w:val="14"/>
              </w:rPr>
              <w:t>D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 xml:space="preserve">iététique </w:t>
            </w:r>
            <w:r>
              <w:rPr>
                <w:rFonts w:ascii="FreeSans" w:hAnsi="FreeSans"/>
                <w:b/>
                <w:bCs/>
                <w:color w:val="auto"/>
                <w:sz w:val="14"/>
                <w:szCs w:val="14"/>
              </w:rPr>
              <w:t>D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 xml:space="preserve">estiné à des </w:t>
            </w:r>
            <w:r>
              <w:rPr>
                <w:rFonts w:ascii="FreeSans" w:hAnsi="FreeSans"/>
                <w:b/>
                <w:bCs/>
                <w:color w:val="auto"/>
                <w:sz w:val="14"/>
                <w:szCs w:val="14"/>
              </w:rPr>
              <w:t>F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 xml:space="preserve">ins </w:t>
            </w:r>
            <w:r>
              <w:rPr>
                <w:rFonts w:ascii="FreeSans" w:hAnsi="FreeSans"/>
                <w:b/>
                <w:bCs/>
                <w:color w:val="auto"/>
                <w:sz w:val="14"/>
                <w:szCs w:val="14"/>
              </w:rPr>
              <w:t>M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 xml:space="preserve">édicales </w:t>
            </w:r>
            <w:r>
              <w:rPr>
                <w:rFonts w:ascii="FreeSans" w:hAnsi="FreeSans"/>
                <w:b/>
                <w:bCs/>
                <w:color w:val="auto"/>
                <w:sz w:val="14"/>
                <w:szCs w:val="14"/>
              </w:rPr>
              <w:t>S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>péciales)</w:t>
            </w:r>
            <w:r>
              <w:rPr>
                <w:rFonts w:ascii="FreeSans" w:hAnsi="FreeSans"/>
                <w:b/>
                <w:bCs/>
                <w:color w:val="EF8A14"/>
                <w:sz w:val="18"/>
                <w:szCs w:val="18"/>
              </w:rPr>
              <w:br/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>[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1 stick = 2,5 x 10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  <w:vertAlign w:val="superscript"/>
              </w:rPr>
              <w:t>9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UFC* de Sb CNCM I-745]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83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 w:val="false"/>
                <w:bCs w:val="false"/>
                <w:color w:val="EF8A14"/>
                <w:sz w:val="18"/>
                <w:szCs w:val="18"/>
                <w:u w:val="none"/>
              </w:rPr>
              <w:t>D</w:t>
            </w:r>
            <w:r>
              <w:rPr>
                <w:rFonts w:ascii="FreeSans" w:hAnsi="FreeSans"/>
                <w:b w:val="false"/>
                <w:bCs w:val="false"/>
                <w:i w:val="false"/>
                <w:iCs w:val="false"/>
                <w:color w:val="EF8A14"/>
                <w:sz w:val="18"/>
                <w:szCs w:val="18"/>
                <w:u w:val="none"/>
              </w:rPr>
              <w:t>ÈS</w:t>
            </w:r>
            <w:r>
              <w:rPr>
                <w:rFonts w:ascii="FreeSans" w:hAnsi="FreeSans"/>
                <w:b w:val="false"/>
                <w:bCs w:val="false"/>
                <w:color w:val="EF8A14"/>
                <w:sz w:val="18"/>
                <w:szCs w:val="18"/>
                <w:u w:val="none"/>
              </w:rPr>
              <w:t xml:space="preserve"> LA NAISSANCE 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  <w:u w:val="none"/>
              </w:rPr>
              <w:t>(</w:t>
            </w:r>
            <w:r>
              <w:rPr>
                <w:rFonts w:ascii="FreeSans" w:hAnsi="FreeSans"/>
                <w:b w:val="false"/>
                <w:bCs w:val="false"/>
                <w:sz w:val="14"/>
                <w:szCs w:val="14"/>
                <w:u w:val="none"/>
              </w:rPr>
              <w:t>s</w:t>
            </w:r>
            <w:r>
              <w:rPr>
                <w:rFonts w:ascii="FreeSans" w:hAnsi="FreeSans"/>
                <w:b w:val="false"/>
                <w:bCs w:val="false"/>
                <w:sz w:val="14"/>
                <w:szCs w:val="14"/>
              </w:rPr>
              <w:t xml:space="preserve">pécifiquement conçu pour le 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>nourrisson)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83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ab/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 xml:space="preserve">• 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En cas de </w:t>
            </w:r>
            <w:r>
              <w:rPr>
                <w:rFonts w:ascii="FreeSans" w:hAnsi="FreeSans"/>
                <w:b/>
                <w:bCs/>
                <w:color w:val="EF8A14"/>
                <w:sz w:val="18"/>
                <w:szCs w:val="18"/>
              </w:rPr>
              <w:t>diarrhées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t xml:space="preserve"> y compris lors de la prise </w:t>
            </w:r>
            <w:r>
              <w:rPr>
                <w:rFonts w:ascii="FreeSans" w:hAnsi="FreeSans"/>
                <w:b/>
                <w:bCs/>
                <w:color w:val="EF8A14"/>
                <w:sz w:val="18"/>
                <w:szCs w:val="18"/>
              </w:rPr>
              <w:t>d’antibiotiques</w:t>
              <w:br/>
              <w:tab/>
              <w:tab/>
            </w: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z w:val="21"/>
                <w:szCs w:val="18"/>
                <w:u w:val="none"/>
                <w:em w:val="none"/>
              </w:rPr>
              <w:t>→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 xml:space="preserve">Sans </w:t>
            </w:r>
            <w:r>
              <w:rPr>
                <w:rFonts w:ascii="FreeSans" w:hAnsi="FreeSans"/>
                <w:b w:val="false"/>
                <w:bCs w:val="false"/>
                <w:color w:val="EF8A14"/>
                <w:sz w:val="18"/>
                <w:szCs w:val="18"/>
              </w:rPr>
              <w:t>colorant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 xml:space="preserve"> , ans </w:t>
            </w:r>
            <w:r>
              <w:rPr>
                <w:rFonts w:ascii="FreeSans" w:hAnsi="FreeSans"/>
                <w:b w:val="false"/>
                <w:bCs w:val="false"/>
                <w:color w:val="EF8A14"/>
                <w:sz w:val="18"/>
                <w:szCs w:val="18"/>
              </w:rPr>
              <w:t>conservateur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 xml:space="preserve">, sans </w:t>
            </w:r>
            <w:r>
              <w:rPr>
                <w:rFonts w:ascii="FreeSans" w:hAnsi="FreeSans"/>
                <w:b w:val="false"/>
                <w:bCs w:val="false"/>
                <w:color w:val="EF8A14"/>
                <w:sz w:val="18"/>
                <w:szCs w:val="18"/>
              </w:rPr>
              <w:t>arôme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br/>
              <w:tab/>
              <w:tab/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21"/>
                <w:szCs w:val="18"/>
                <w:u w:val="none"/>
                <w:em w:val="none"/>
              </w:rPr>
              <w:t>→</w:t>
            </w:r>
            <w:r>
              <w:rPr>
                <w:rFonts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EF8A14"/>
                <w:sz w:val="18"/>
                <w:szCs w:val="18"/>
              </w:rPr>
              <w:t xml:space="preserve">Facile </w:t>
            </w:r>
            <w:r>
              <w:rPr>
                <w:rFonts w:ascii="FreeSans" w:hAnsi="FreeSans"/>
                <w:b w:val="false"/>
                <w:bCs w:val="false"/>
                <w:color w:val="auto"/>
                <w:sz w:val="18"/>
                <w:szCs w:val="18"/>
              </w:rPr>
              <w:t>à intégrer à l’alimentation du bébé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42" w:leader="none"/>
                <w:tab w:val="left" w:pos="283" w:leader="none"/>
              </w:tabs>
              <w:bidi w:val="0"/>
              <w:spacing w:before="57" w:after="57"/>
              <w:jc w:val="left"/>
              <w:rPr/>
            </w:pPr>
            <w:r>
              <w:rPr>
                <w:rFonts w:ascii="Webdings" w:hAnsi="Webding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EF8A14"/>
                <w:sz w:val="28"/>
                <w:szCs w:val="28"/>
                <w:u w:val="none"/>
                <w:em w:val="none"/>
              </w:rPr>
              <w:t>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Boite de </w:t>
            </w:r>
            <w:r>
              <w:rPr>
                <w:rFonts w:ascii="FreeSans" w:hAnsi="FreeSans"/>
                <w:b/>
                <w:bCs/>
                <w:color w:val="EF8A14"/>
                <w:sz w:val="18"/>
                <w:szCs w:val="18"/>
              </w:rPr>
              <w:t xml:space="preserve">14 sticks </w:t>
            </w:r>
            <w:r>
              <w:rPr>
                <w:rFonts w:ascii="FreeSans" w:hAnsi="FreeSans"/>
                <w:b w:val="false"/>
                <w:bCs w:val="false"/>
                <w:sz w:val="18"/>
                <w:szCs w:val="18"/>
              </w:rPr>
              <w:br/>
            </w:r>
            <w:r>
              <w:rPr>
                <w:rFonts w:ascii="Webdings" w:hAnsi="Webding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EF8A14"/>
                <w:sz w:val="28"/>
                <w:szCs w:val="28"/>
                <w:u w:val="none"/>
                <w:shd w:fill="auto" w:val="clear"/>
                <w:em w:val="none"/>
              </w:rPr>
              <w:t></w:t>
            </w:r>
            <w:r>
              <w:rPr>
                <w:rFonts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8"/>
                <w:szCs w:val="18"/>
                <w:u w:val="none"/>
                <w:em w:val="none"/>
              </w:rPr>
              <w:t xml:space="preserve">PVC </w:t>
            </w:r>
            <w:r>
              <w:rPr>
                <w:rFonts w:ascii="FreeSans" w:hAnsi="Free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EF8A14"/>
                <w:sz w:val="18"/>
                <w:szCs w:val="18"/>
                <w:u w:val="none"/>
                <w:em w:val="none"/>
              </w:rPr>
              <w:t>~ 7,00 €</w:t>
            </w:r>
          </w:p>
        </w:tc>
      </w:tr>
    </w:tbl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Webding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1</Pages>
  <Words>447</Words>
  <Characters>2377</Characters>
  <CharactersWithSpaces>2805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2023-07-09T16:31:39Z</dcterms:created>
  <dc:creator/>
  <dc:description/>
  <dc:language>fr-FR</dc:language>
  <cp:lastModifiedBy/>
  <dcterms:modified xsi:type="dcterms:W3CDTF">2023-07-09T23:11:48Z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