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13"/>
        <w:gridCol w:w="9587"/>
      </w:tblGrid>
      <w:tr>
        <w:trPr>
          <w:trHeight w:val="300" w:hRule="atLeast"/>
        </w:trPr>
        <w:tc>
          <w:tcPr>
            <w:tcW w:w="181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9587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rFonts w:ascii="FreeSans" w:hAnsi="FreeSans"/>
                <w:color w:val="7CB939"/>
                <w:sz w:val="24"/>
                <w:szCs w:val="24"/>
              </w:rPr>
            </w:pPr>
            <w:r>
              <w:rPr>
                <w:rFonts w:ascii="FreeSans" w:hAnsi="FreeSans"/>
                <w:b/>
                <w:color w:val="7CB939"/>
                <w:sz w:val="24"/>
                <w:szCs w:val="24"/>
              </w:rPr>
              <w:t>ALFLOREX +</w:t>
            </w:r>
          </w:p>
        </w:tc>
      </w:tr>
      <w:tr>
        <w:trPr>
          <w:trHeight w:val="94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PROPRIÉTÉS</w:t>
            </w:r>
          </w:p>
        </w:tc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I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 xml:space="preserve">mpact positif </w:t>
            </w:r>
            <w:r>
              <w:rPr>
                <w:rFonts w:ascii="FreeSans" w:hAnsi="FreeSans"/>
                <w:b/>
                <w:bCs/>
                <w:color w:val="auto"/>
                <w:sz w:val="18"/>
                <w:szCs w:val="18"/>
              </w:rPr>
              <w:t>sur le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 xml:space="preserve"> microbiote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>intestinal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ffet 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immunomodulateur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et 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anti-inflammatoire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br/>
              <w:tab/>
              <w:t xml:space="preserve">➔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réduit la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douleur viscérale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induite par distension colorectale</w:t>
              <w:br/>
              <w:tab/>
              <w:t xml:space="preserve">➔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>réduit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l</w:t>
            </w:r>
            <w:r>
              <w:rPr>
                <w:rFonts w:ascii="FreeSans" w:hAnsi="FreeSans"/>
                <w:b/>
                <w:bCs/>
                <w:color w:val="auto"/>
                <w:sz w:val="18"/>
                <w:szCs w:val="18"/>
              </w:rPr>
              <w:t>’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hypersensibilité viscérale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, </w:t>
              <w:br/>
              <w:tab/>
              <w:t xml:space="preserve">➔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réduit les symptômes 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du patient ayant un SII :</w:t>
              <w:br/>
              <w:tab/>
              <w:tab/>
              <w:t xml:space="preserve">• la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douleur abdominale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,</w:t>
              <w:br/>
              <w:tab/>
              <w:tab/>
              <w:t xml:space="preserve">• les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ballonnements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, </w:t>
              <w:br/>
              <w:tab/>
              <w:tab/>
              <w:t xml:space="preserve">• les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gaz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et </w:t>
              <w:br/>
              <w:tab/>
              <w:tab/>
              <w:t xml:space="preserve">• les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troubles du transit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Amélioration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de la 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qualité de vie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des patients atteints de SII !!!</w:t>
            </w:r>
          </w:p>
        </w:tc>
      </w:tr>
      <w:tr>
        <w:trPr>
          <w:trHeight w:val="945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 xml:space="preserve">COMPOSITION 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Souche unique 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Bifidobacterium longum 35624®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[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1 gélule =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>10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  <w:vertAlign w:val="superscript"/>
              </w:rPr>
              <w:t>9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 levures vivantes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=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1 milliard d’UFC 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]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91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120 mg Carbonate de Calcium</w:t>
              <w:br/>
              <w:tab/>
              <w:t>➔ Contribue au fonctionnement normal des enzyme digestives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91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Gélule végétal ne contenant ni lactose, ni gluten</w:t>
            </w:r>
          </w:p>
        </w:tc>
      </w:tr>
      <w:tr>
        <w:trPr>
          <w:trHeight w:val="762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CARACTÉRISTIQUES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  <w:tab w:val="left" w:pos="197" w:leader="none"/>
                <w:tab w:val="left" w:pos="283" w:leader="none"/>
                <w:tab w:val="left" w:pos="567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Bifidobacterium longum 35624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s’adapte naturellement au milieu intestinal</w:t>
              <w:br/>
              <w:tab/>
              <w:t>Origine naturelle initialement isolée à partir du côlon d’un humain en bonne santé</w:t>
              <w:br/>
              <w:tab/>
              <w:t xml:space="preserve">➔ Bifidobacterium longum 35624® s’épanouit dans le système digestif humain.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Bifidobacterium longum 35624® reste active durant son passage dans le système digestif.</w:t>
            </w:r>
          </w:p>
        </w:tc>
      </w:tr>
      <w:tr>
        <w:trPr>
          <w:trHeight w:val="1300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TOLÉRANCE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Constatée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depuis </w:t>
            </w:r>
            <w:r>
              <w:rPr>
                <w:rFonts w:ascii="FreeSans" w:hAnsi="FreeSans"/>
                <w:b/>
                <w:bCs/>
                <w:sz w:val="18"/>
                <w:szCs w:val="18"/>
              </w:rPr>
              <w:t>près de 15 ans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par des centaines de milliers de consommateurs</w:t>
              <w:br/>
              <w:t xml:space="preserve">en Irlande, aux États-Unis et au Canada. </w:t>
            </w:r>
          </w:p>
          <w:p>
            <w:pPr>
              <w:pStyle w:val="Normal"/>
              <w:tabs>
                <w:tab w:val="clear" w:pos="709"/>
                <w:tab w:val="left" w:pos="275" w:leader="none"/>
                <w:tab w:val="left" w:pos="283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>Isolée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et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8"/>
                <w:szCs w:val="18"/>
              </w:rPr>
              <w:t xml:space="preserve">caractérisée 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de manière approfondie par les </w:t>
            </w:r>
            <w:r>
              <w:rPr>
                <w:rFonts w:ascii="FreeSans" w:hAnsi="FreeSans"/>
                <w:b/>
                <w:bCs/>
                <w:sz w:val="18"/>
                <w:szCs w:val="18"/>
              </w:rPr>
              <w:t>scientifiques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et </w:t>
            </w:r>
            <w:r>
              <w:rPr>
                <w:rFonts w:ascii="FreeSans" w:hAnsi="FreeSans"/>
                <w:b/>
                <w:bCs/>
                <w:sz w:val="18"/>
                <w:szCs w:val="18"/>
              </w:rPr>
              <w:t>gastro-entérologues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de :</w:t>
              <w:br/>
              <w:t xml:space="preserve">-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Alimentary Health </w:t>
              <w:br/>
              <w:t xml:space="preserve">- APC Microbiome Institute </w:t>
              <w:br/>
              <w:t>- University College Cork</w:t>
            </w:r>
          </w:p>
        </w:tc>
      </w:tr>
      <w:tr>
        <w:trPr>
          <w:trHeight w:val="256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POSOLOGIE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/>
                <w:b/>
                <w:bCs/>
                <w:color w:val="7CB939"/>
                <w:sz w:val="18"/>
                <w:szCs w:val="18"/>
              </w:rPr>
            </w:pP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1 gélule / j</w:t>
            </w:r>
          </w:p>
        </w:tc>
      </w:tr>
      <w:tr>
        <w:trPr>
          <w:trHeight w:val="85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PRÉSENTATION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7CB939"/>
                <w:sz w:val="26"/>
                <w:szCs w:val="18"/>
                <w:u w:val="none"/>
                <w:em w:val="none"/>
              </w:rPr>
              <w:t></w:t>
            </w: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18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Boîte de 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30 gélules</w:t>
            </w:r>
          </w:p>
        </w:tc>
      </w:tr>
      <w:tr>
        <w:trPr>
          <w:trHeight w:val="88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PRIX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2435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7CB939"/>
                <w:sz w:val="28"/>
                <w:szCs w:val="28"/>
                <w:u w:val="none"/>
                <w:shd w:fill="auto" w:val="clear"/>
                <w:em w:val="none"/>
              </w:rPr>
              <w:t xml:space="preserve">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7CB939"/>
                <w:sz w:val="18"/>
                <w:szCs w:val="18"/>
              </w:rPr>
              <w:t>~ 10,00 €</w:t>
            </w:r>
          </w:p>
        </w:tc>
      </w:tr>
      <w:tr>
        <w:trPr>
          <w:trHeight w:val="83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REMBOURSEMENT</w:t>
            </w:r>
          </w:p>
        </w:tc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2435" w:leader="none"/>
              </w:tabs>
              <w:bidi w:val="0"/>
              <w:spacing w:before="57" w:after="57"/>
              <w:jc w:val="lef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shd w:fill="auto" w:val="clear"/>
                <w:em w:val="none"/>
              </w:rPr>
              <w:t></w:t>
            </w: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shd w:fill="auto" w:val="clear"/>
                <w:em w:val="none"/>
              </w:rPr>
              <w:t xml:space="preserve">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7CB939"/>
                <w:sz w:val="18"/>
                <w:szCs w:val="18"/>
                <w:u w:val="none"/>
                <w:shd w:fill="auto" w:val="clear"/>
                <w:em w:val="none"/>
              </w:rPr>
              <w:t>65 %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auto" w:val="clear"/>
                <w:em w:val="none"/>
              </w:rPr>
              <w:t xml:space="preserve"> - agréée aux collectivités</w:t>
            </w:r>
          </w:p>
        </w:tc>
      </w:tr>
      <w:tr>
        <w:trPr>
          <w:trHeight w:val="6301" w:hRule="atLeast"/>
        </w:trPr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ETUDES</w:t>
            </w:r>
          </w:p>
        </w:tc>
        <w:tc>
          <w:tcPr>
            <w:tcW w:w="9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113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Etude O'Mahony L. et al.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(Am J  Physiol Gastrointest Liver Physiol. 2006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)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Bifidobacterium longum 35624 </w:t>
            </w:r>
            <w:r>
              <w:rPr>
                <w:rFonts w:ascii="FreeSans" w:hAnsi="FreeSans"/>
                <w:b/>
                <w:bCs/>
                <w:color w:val="7CB939"/>
                <w:sz w:val="16"/>
                <w:szCs w:val="16"/>
              </w:rPr>
              <w:t>induit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une </w:t>
            </w:r>
            <w:r>
              <w:rPr>
                <w:rFonts w:ascii="FreeSans" w:hAnsi="FreeSans"/>
                <w:b/>
                <w:bCs/>
                <w:color w:val="7CB939"/>
                <w:sz w:val="16"/>
                <w:szCs w:val="16"/>
              </w:rPr>
              <w:t>sécrétion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d’</w:t>
            </w:r>
            <w:r>
              <w:rPr>
                <w:rFonts w:ascii="FreeSans" w:hAnsi="FreeSans"/>
                <w:b/>
                <w:bCs/>
                <w:color w:val="7CB939"/>
                <w:sz w:val="16"/>
                <w:szCs w:val="16"/>
              </w:rPr>
              <w:t>IL-10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(</w:t>
            </w:r>
            <w:r>
              <w:rPr>
                <w:rFonts w:ascii="FreeSans" w:hAnsi="FreeSans"/>
                <w:b w:val="false"/>
                <w:bCs w:val="false"/>
                <w:color w:val="FFFFFF"/>
                <w:sz w:val="16"/>
                <w:szCs w:val="16"/>
                <w:shd w:fill="7CB939" w:val="clear"/>
              </w:rPr>
              <w:t>cytokine anti-inflammatoires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) par les cellules mononucléaires humaines issues de la circulation sanguine et des ganglions lymphatiques isolées chez les patients présentant une colite.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13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Etude O'Hara AM. et al.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(Immunology. 2006)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Bifidobacterium longum 35624 exerce des </w:t>
            </w:r>
            <w:r>
              <w:rPr>
                <w:rFonts w:ascii="FreeSans" w:hAnsi="FreeSans"/>
                <w:b w:val="false"/>
                <w:bCs w:val="false"/>
                <w:color w:val="7CB939"/>
                <w:sz w:val="16"/>
                <w:szCs w:val="16"/>
              </w:rPr>
              <w:t>effets immunomodulateurs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sur les cellules immunitaires intestinales impliquées dans la réponse aux entéropathogènes avec une </w:t>
            </w:r>
            <w:r>
              <w:rPr>
                <w:rFonts w:ascii="FreeSans" w:hAnsi="FreeSans"/>
                <w:b/>
                <w:bCs/>
                <w:color w:val="7CB939"/>
                <w:sz w:val="16"/>
                <w:szCs w:val="16"/>
              </w:rPr>
              <w:t>diminution de la réponse inflammatoire IL-8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(</w:t>
            </w:r>
            <w:r>
              <w:rPr>
                <w:rFonts w:ascii="FreeSans" w:hAnsi="FreeSans"/>
                <w:b w:val="false"/>
                <w:bCs w:val="false"/>
                <w:color w:val="FFFFFF"/>
                <w:sz w:val="16"/>
                <w:szCs w:val="16"/>
                <w:shd w:fill="7CB939" w:val="clear"/>
              </w:rPr>
              <w:t>cytokine pro-inflammatoire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) induite par S. thyphimurium et la flagelline sur des cellules épithéliales intestinales.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113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Etude O'Mahony L. et al.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(Gastroenterology. 2005)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Bifidobacterium longum 35624 diminue les symptômes chez les patients présentant un SII, cette réponse était associée à la normalisation du ratio des cytokines IL-10 / IL-12, suggérant un rôle immunomodulateur de Bifidobacterium longum 35624 dans le SII.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Etude Whorwell PJ. et al.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(Am J  Gastroenterol. 2006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)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B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ifidobacterium longum 35624 à un dosage de 1 x 108 UFC/ml est efficace pour réduire les symptômes du SII (douleur abdominale, ballonnement, sensation d’évacuation incomplète, gaz, trouble du transit).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Etude Charbonneau D. et al.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(Gut Microbes. 2013) 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Après 4 à 8 semaines de traitement par Bifidobacterium longum 35624 :  • le probiotique est retrouvé dans les selles des patients  • impact positif de la souche sur le développement de certaines populations de bactéries commensales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Etude de tolérance :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Quigley E. et al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. 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Bifidobacterium longum 35624 est bien toléré  (le profil global de tolérance de B. longum 35624 est similaire à celui du placebo).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Etude Sabaté et al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. 2022 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Efficacité  confirmée en vie réelle de B. longum 35624 sur les symptômes du SII </w:t>
              <w:br/>
              <w:t xml:space="preserve">- Amélioration de la QdV du patient  </w:t>
              <w:br/>
              <w:t xml:space="preserve">✓par des études in vitro, expérimentales et cliniques  </w:t>
              <w:br/>
              <w:t xml:space="preserve">✓par &gt;15 ans d’expérience </w:t>
              <w:br/>
              <w:t xml:space="preserve">En 30 j,  </w:t>
              <w:br/>
              <w:t xml:space="preserve">↘ Sévérité de l’ensemble des symptômes   </w:t>
              <w:br/>
              <w:t xml:space="preserve">↗ Qualité de vie du SII  notamment dans les formes les plus sévères  </w:t>
              <w:br/>
              <w:t xml:space="preserve">Efficacité démontrée dans les 3 sous-types de SII (SII-M, SII-D et SII-C) </w:t>
            </w:r>
          </w:p>
        </w:tc>
      </w:tr>
    </w:tbl>
    <w:p>
      <w:pPr>
        <w:pStyle w:val="Normal"/>
        <w:bidi w:val="0"/>
        <w:jc w:val="left"/>
        <w:rPr>
          <w:rFonts w:ascii="FreeSans" w:hAnsi="FreeSans"/>
          <w:sz w:val="16"/>
          <w:szCs w:val="16"/>
        </w:rPr>
      </w:pPr>
      <w:r>
        <w:rPr>
          <w:rFonts w:ascii="FreeSans" w:hAnsi="FreeSans"/>
          <w:sz w:val="16"/>
          <w:szCs w:val="16"/>
        </w:rPr>
      </w:r>
    </w:p>
    <w:p>
      <w:pPr>
        <w:pStyle w:val="Normal"/>
        <w:bidi w:val="0"/>
        <w:jc w:val="left"/>
        <w:rPr>
          <w:rFonts w:ascii="FreeSans" w:hAnsi="FreeSans"/>
          <w:sz w:val="16"/>
          <w:szCs w:val="16"/>
        </w:rPr>
      </w:pPr>
      <w:r>
        <w:rPr>
          <w:rFonts w:ascii="FreeSans" w:hAnsi="FreeSans"/>
          <w:sz w:val="16"/>
          <w:szCs w:val="16"/>
        </w:rPr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FreeSans">
    <w:charset w:val="01"/>
    <w:family w:val="roman"/>
    <w:pitch w:val="variable"/>
  </w:font>
  <w:font w:name="Webding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512</TotalTime>
  <Application>LibreOffice/7.3.7.2$Linux_X86_64 LibreOffice_project/30$Build-2</Application>
  <AppVersion>15.0000</AppVersion>
  <Pages>1</Pages>
  <Words>535</Words>
  <Characters>3001</Characters>
  <CharactersWithSpaces>3553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2023-07-09T21:36:30Z</dcterms:created>
  <dc:creator/>
  <dc:description/>
  <dc:language>fr-FR</dc:language>
  <cp:lastModifiedBy/>
  <dcterms:modified xsi:type="dcterms:W3CDTF">2023-07-10T07:44:03Z</dcterms:modified>
  <cp:revision>3</cp:revision>
  <dc:subject/>
  <dc:title/>
</cp:coreProperties>
</file>