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6268" w:type="dxa"/>
        <w:jc w:val="left"/>
        <w:tblInd w:w="-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2"/>
        <w:gridCol w:w="1754"/>
        <w:gridCol w:w="1197"/>
        <w:gridCol w:w="894"/>
        <w:gridCol w:w="2783"/>
        <w:gridCol w:w="3060"/>
        <w:gridCol w:w="5047"/>
      </w:tblGrid>
      <w:tr>
        <w:trPr>
          <w:trHeight w:val="333" w:hRule="atLeast"/>
        </w:trPr>
        <w:tc>
          <w:tcPr>
            <w:tcW w:w="16267" w:type="dxa"/>
            <w:gridSpan w:val="7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color w:val="595959"/>
                <w:sz w:val="24"/>
                <w:szCs w:val="24"/>
              </w:rPr>
              <w:t>GESTAR</w:t>
            </w:r>
            <w:r>
              <w:rPr>
                <w:rFonts w:ascii="FreeSans" w:hAnsi="FreeSans"/>
                <w:b/>
                <w:color w:val="CB2A6E"/>
                <w:sz w:val="24"/>
                <w:szCs w:val="24"/>
              </w:rPr>
              <w:t>ELLE</w:t>
            </w:r>
            <w:r>
              <w:rPr>
                <w:rFonts w:ascii="FreeSans" w:hAnsi="FreeSans"/>
                <w:b/>
                <w:color w:val="DE0058"/>
                <w:sz w:val="24"/>
                <w:szCs w:val="24"/>
              </w:rPr>
              <w:t xml:space="preserve"> G+  </w:t>
            </w:r>
            <w:r>
              <w:rPr>
                <w:rFonts w:ascii="FreeSans" w:hAnsi="FreeSans"/>
                <w:b/>
                <w:color w:val="595959"/>
                <w:sz w:val="24"/>
                <w:szCs w:val="24"/>
              </w:rPr>
              <w:t>GESTAR</w:t>
            </w:r>
            <w:r>
              <w:rPr>
                <w:rFonts w:ascii="FreeSans" w:hAnsi="FreeSans"/>
                <w:b/>
                <w:color w:val="CB2A6E"/>
                <w:sz w:val="24"/>
                <w:szCs w:val="24"/>
              </w:rPr>
              <w:t xml:space="preserve">ELLE </w:t>
            </w:r>
            <w:r>
              <w:rPr>
                <w:rFonts w:ascii="FreeSans" w:hAnsi="FreeSans"/>
                <w:b/>
                <w:color w:val="DE0058"/>
                <w:sz w:val="24"/>
                <w:szCs w:val="24"/>
              </w:rPr>
              <w:t>3G+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Accompagnement des femmes dès le </w:t>
            </w:r>
            <w:r>
              <w:rPr>
                <w:rFonts w:ascii="FreeSans" w:hAnsi="FreeSans"/>
                <w:b/>
                <w:bCs/>
                <w:color w:val="DE0058"/>
                <w:sz w:val="16"/>
                <w:szCs w:val="16"/>
              </w:rPr>
              <w:t>désir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d’enfant, pendant toute la </w:t>
            </w:r>
            <w:r>
              <w:rPr>
                <w:rFonts w:ascii="FreeSans" w:hAnsi="FreeSans"/>
                <w:b/>
                <w:bCs/>
                <w:color w:val="DE0058"/>
                <w:sz w:val="16"/>
                <w:szCs w:val="16"/>
              </w:rPr>
              <w:t>grossesse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et pendant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l’</w:t>
            </w:r>
            <w:r>
              <w:rPr>
                <w:rFonts w:ascii="FreeSans" w:hAnsi="FreeSans"/>
                <w:b/>
                <w:bCs/>
                <w:color w:val="EA0079"/>
                <w:sz w:val="16"/>
                <w:szCs w:val="16"/>
              </w:rPr>
              <w:t>allaitement</w:t>
            </w:r>
          </w:p>
        </w:tc>
      </w:tr>
      <w:tr>
        <w:trPr>
          <w:trHeight w:val="133" w:hRule="atLeast"/>
        </w:trPr>
        <w:tc>
          <w:tcPr>
            <w:tcW w:w="1532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b/>
                <w:b/>
                <w:color w:val="595959"/>
                <w:sz w:val="16"/>
                <w:szCs w:val="16"/>
              </w:rPr>
            </w:pPr>
            <w:r>
              <w:rPr>
                <w:rFonts w:ascii="DejaVu Sans Condensed" w:hAnsi="DejaVu Sans Condensed"/>
                <w:b/>
                <w:color w:val="595959"/>
                <w:sz w:val="16"/>
                <w:szCs w:val="16"/>
              </w:rPr>
            </w:r>
          </w:p>
        </w:tc>
        <w:tc>
          <w:tcPr>
            <w:tcW w:w="1754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DejaVu Sans Condensed" w:hAnsi="DejaVu Sans Condensed"/>
                <w:b/>
                <w:b/>
                <w:sz w:val="16"/>
                <w:szCs w:val="16"/>
              </w:rPr>
            </w:pPr>
            <w:r>
              <w:rPr>
                <w:rFonts w:ascii="DejaVu Sans Condensed" w:hAnsi="DejaVu Sans Condensed"/>
                <w:b/>
                <w:sz w:val="16"/>
                <w:szCs w:val="16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b/>
                <w:b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1 CAPSULE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b/>
                <w:b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%  VNR*</w:t>
            </w:r>
          </w:p>
        </w:tc>
        <w:tc>
          <w:tcPr>
            <w:tcW w:w="2783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3060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DejaVu Sans Condensed" w:hAnsi="DejaVu Sans Condensed"/>
                <w:b/>
                <w:b/>
                <w:sz w:val="16"/>
                <w:szCs w:val="16"/>
              </w:rPr>
            </w:pPr>
            <w:r>
              <w:rPr>
                <w:rFonts w:ascii="DejaVu Sans Condensed" w:hAnsi="DejaVu Sans Condensed"/>
                <w:b/>
                <w:sz w:val="16"/>
                <w:szCs w:val="16"/>
              </w:rPr>
            </w:r>
          </w:p>
        </w:tc>
        <w:tc>
          <w:tcPr>
            <w:tcW w:w="5047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DejaVu Sans Condensed" w:hAnsi="DejaVu Sans Condensed"/>
                <w:b/>
                <w:b/>
                <w:sz w:val="16"/>
                <w:szCs w:val="16"/>
              </w:rPr>
            </w:pPr>
            <w:r>
              <w:rPr>
                <w:rFonts w:ascii="DejaVu Sans Condensed" w:hAnsi="DejaVu Sans Condensed"/>
                <w:b/>
                <w:sz w:val="16"/>
                <w:szCs w:val="16"/>
              </w:rPr>
            </w:r>
          </w:p>
        </w:tc>
      </w:tr>
      <w:tr>
        <w:trPr>
          <w:trHeight w:val="107" w:hRule="atLeast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jc w:val="center"/>
              <w:rPr>
                <w:color w:val="CB2A6E"/>
                <w:eastAsianLayout w:vert="true"/>
              </w:rPr>
            </w:pPr>
            <w:r>
              <w:rPr>
                <w:rFonts w:ascii="FreeSans" w:hAnsi="FreeSans"/>
                <w:b/>
                <w:bCs/>
                <w:color w:val="CB2A6E"/>
                <w:sz w:val="30"/>
                <w:szCs w:val="14"/>
                <w:eastAsianLayout w:vert="true"/>
              </w:rPr>
              <w:t>9 VITAMINES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  <w:eastAsianLayout w:vert="true"/>
              </w:rPr>
              <w:t>Micronutriments&gt; vitamines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B1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1,1 mg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 w:val="false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Thiamine</w:t>
            </w:r>
          </w:p>
        </w:tc>
        <w:tc>
          <w:tcPr>
            <w:tcW w:w="3060" w:type="dxa"/>
            <w:tcBorders>
              <w:lef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94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B2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1,4 mg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 w:val="false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Riboflavine</w:t>
            </w:r>
          </w:p>
        </w:tc>
        <w:tc>
          <w:tcPr>
            <w:tcW w:w="3060" w:type="dxa"/>
            <w:tcBorders>
              <w:lef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129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B5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6 mg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 w:val="false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Acide pantothénique</w:t>
            </w:r>
          </w:p>
        </w:tc>
        <w:tc>
          <w:tcPr>
            <w:tcW w:w="3060" w:type="dxa"/>
            <w:tcBorders>
              <w:lef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96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B6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1,4 mg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 w:val="false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Pyridoxine</w:t>
            </w:r>
          </w:p>
        </w:tc>
        <w:tc>
          <w:tcPr>
            <w:tcW w:w="3060" w:type="dxa"/>
            <w:tcBorders>
              <w:lef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76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B8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50 µg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 w:val="false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Biotine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b/>
                <w:b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RISQUES</w:t>
            </w:r>
          </w:p>
        </w:tc>
        <w:tc>
          <w:tcPr>
            <w:tcW w:w="5047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b/>
                <w:b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BIENFAITS</w:t>
            </w:r>
          </w:p>
        </w:tc>
      </w:tr>
      <w:tr>
        <w:trPr>
          <w:trHeight w:val="742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color w:val="EA0079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EA0079"/>
                <w:sz w:val="16"/>
                <w:szCs w:val="16"/>
              </w:rPr>
              <w:t>VITAMINE B9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400 µg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200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EA0079"/>
                <w:sz w:val="16"/>
                <w:szCs w:val="16"/>
              </w:rPr>
              <w:t>Acide</w:t>
            </w:r>
            <w:r>
              <w:rPr>
                <w:rFonts w:ascii="FreeSans" w:hAnsi="FreeSans"/>
                <w:b/>
                <w:bCs/>
                <w:color w:val="EA0079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EA0079"/>
                <w:sz w:val="16"/>
                <w:szCs w:val="16"/>
              </w:rPr>
              <w:t>folique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Essentiel au processus de division cellulaire</w:t>
              <w:br/>
              <w:br/>
            </w:r>
            <w:r>
              <w:rPr>
                <w:rFonts w:ascii="FreeSans" w:hAnsi="FreeSans"/>
                <w:i/>
                <w:iCs/>
                <w:sz w:val="16"/>
                <w:szCs w:val="16"/>
              </w:rPr>
              <w:t xml:space="preserve">→ 1 femme / 10 en âge de procréer présente une carence en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i/>
                <w:iCs/>
                <w:color w:val="EA0079"/>
                <w:kern w:val="2"/>
                <w:sz w:val="16"/>
                <w:szCs w:val="16"/>
                <w:lang w:val="fr-FR" w:eastAsia="zh-CN" w:bidi="hi-IN"/>
              </w:rPr>
              <w:t>acide folique</w:t>
            </w:r>
            <w:r>
              <w:rPr>
                <w:rFonts w:ascii="FreeSans" w:hAnsi="FreeSans"/>
                <w:sz w:val="16"/>
                <w:szCs w:val="16"/>
              </w:rPr>
              <w:br/>
              <w:t>→ Baisse des folates sériques quasi constante au cours de la grossesse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Noto Serif CJK SC" w:cs="Lohit Devanagari" w:ascii="FreeSans" w:hAnsi="FreeSans"/>
                <w:b w:val="false"/>
                <w:bCs w:val="false"/>
                <w:color w:val="auto"/>
                <w:kern w:val="2"/>
                <w:sz w:val="16"/>
                <w:szCs w:val="16"/>
                <w:lang w:val="fr-FR" w:eastAsia="zh-CN" w:bidi="hi-IN"/>
              </w:rPr>
              <w:t>En cas de carence : Risques d’</w:t>
            </w:r>
            <w:r>
              <w:rPr>
                <w:rFonts w:eastAsia="Noto Serif CJK SC" w:cs="Lohit Devanagari" w:ascii="FreeSans" w:hAnsi="FreeSans"/>
                <w:b/>
                <w:bCs/>
                <w:color w:val="auto"/>
                <w:kern w:val="2"/>
                <w:sz w:val="16"/>
                <w:szCs w:val="16"/>
                <w:lang w:val="fr-FR" w:eastAsia="zh-CN" w:bidi="hi-IN"/>
              </w:rPr>
              <w:t xml:space="preserve">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A</w:t>
            </w:r>
            <w:r>
              <w:rPr>
                <w:rFonts w:ascii="FreeSans" w:hAnsi="FreeSans"/>
                <w:sz w:val="16"/>
                <w:szCs w:val="16"/>
              </w:rPr>
              <w:t xml:space="preserve">nomalies de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F</w:t>
            </w:r>
            <w:r>
              <w:rPr>
                <w:rFonts w:ascii="FreeSans" w:hAnsi="FreeSans"/>
                <w:sz w:val="16"/>
                <w:szCs w:val="16"/>
              </w:rPr>
              <w:t xml:space="preserve">ermeture du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T</w:t>
            </w:r>
            <w:r>
              <w:rPr>
                <w:rFonts w:ascii="FreeSans" w:hAnsi="FreeSans"/>
                <w:sz w:val="16"/>
                <w:szCs w:val="16"/>
              </w:rPr>
              <w:t xml:space="preserve">ube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N</w:t>
            </w:r>
            <w:r>
              <w:rPr>
                <w:rFonts w:ascii="FreeSans" w:hAnsi="FreeSans"/>
                <w:sz w:val="16"/>
                <w:szCs w:val="16"/>
              </w:rPr>
              <w:t>eural</w:t>
              <w:br/>
              <w:t xml:space="preserve">= Fermeture inadéquate de la colonne vertébrale pendant le développement embryonnaire </w:t>
              <w:br/>
              <w:br/>
              <w:t xml:space="preserve">➔ 5 / 10 000 naissances en France </w:t>
              <w:br/>
              <w:t>➔ 330 000 naissances /an dans le monde</w:t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➔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AMM à 400 μg/j dans la prévention des AFTN</w:t>
            </w:r>
            <w:r>
              <w:rPr>
                <w:rFonts w:ascii="FreeSans" w:hAnsi="FreeSans"/>
                <w:sz w:val="16"/>
                <w:szCs w:val="16"/>
              </w:rPr>
              <w:t xml:space="preserve">  (Spéciafoldine®)</w:t>
              <w:br/>
              <w:t xml:space="preserve">- Prévient les </w:t>
            </w:r>
            <w:r>
              <w:rPr>
                <w:rFonts w:eastAsia="Noto Serif CJK SC" w:cs="Lohit Devanagari" w:ascii="FreeSans" w:hAnsi="FreeSans"/>
                <w:b w:val="false"/>
                <w:bCs w:val="false"/>
                <w:color w:val="EA0079"/>
                <w:kern w:val="2"/>
                <w:sz w:val="16"/>
                <w:szCs w:val="16"/>
                <w:lang w:val="fr-FR" w:eastAsia="zh-CN" w:bidi="hi-IN"/>
              </w:rPr>
              <w:t>AFTN</w:t>
            </w:r>
            <w:r>
              <w:rPr>
                <w:rFonts w:ascii="FreeSans" w:hAnsi="FreeSans"/>
                <w:sz w:val="16"/>
                <w:szCs w:val="16"/>
              </w:rPr>
              <w:t xml:space="preserve"> du fœtus en développement </w:t>
              <w:br/>
            </w:r>
            <w:r>
              <w:rPr>
                <w:rFonts w:ascii="FreeSans" w:hAnsi="FreeSans"/>
                <w:sz w:val="14"/>
                <w:szCs w:val="14"/>
              </w:rPr>
              <w:t xml:space="preserve">(anencéphalie, encéphalocèle, spina bifida, bec de lièvre) 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- Permet la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croissance des tissus maternels</w:t>
            </w:r>
            <w:r>
              <w:rPr>
                <w:rFonts w:ascii="FreeSans" w:hAnsi="FreeSans"/>
                <w:sz w:val="16"/>
                <w:szCs w:val="16"/>
              </w:rPr>
              <w:t xml:space="preserve"> pendant la grossesse </w:t>
              <w:br/>
              <w:t xml:space="preserve">- Contribue au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fonctionnement</w:t>
            </w:r>
            <w:r>
              <w:rPr>
                <w:rFonts w:ascii="FreeSans" w:hAnsi="FreeSans"/>
                <w:sz w:val="16"/>
                <w:szCs w:val="16"/>
              </w:rPr>
              <w:t xml:space="preserve"> normal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du système immunitaire</w:t>
              <w:br/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•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PRESCRIPTION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SYSTÉMATIQUE</w:t>
            </w:r>
            <w:r>
              <w:rPr>
                <w:rFonts w:ascii="FreeSans" w:hAnsi="FreeSans"/>
                <w:sz w:val="16"/>
                <w:szCs w:val="16"/>
              </w:rPr>
              <w:t xml:space="preserve"> en cas de désir de grossesse  </w:t>
              <w:br/>
            </w:r>
            <w:r>
              <w:rPr>
                <w:rFonts w:ascii="FreeSans" w:hAnsi="FreeSans"/>
                <w:sz w:val="14"/>
                <w:szCs w:val="14"/>
              </w:rPr>
              <w:t>(1 mois avant la conception et jusqu’à 3 mois après le début de la grossesse)</w:t>
            </w:r>
          </w:p>
        </w:tc>
      </w:tr>
      <w:tr>
        <w:trPr>
          <w:trHeight w:val="115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B12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0,4 µg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16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Cyanocobalamine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99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color w:val="F287B5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>VITAMINE D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15 µg</w:t>
            </w:r>
          </w:p>
        </w:tc>
        <w:tc>
          <w:tcPr>
            <w:tcW w:w="8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300</w:t>
            </w:r>
          </w:p>
        </w:tc>
        <w:tc>
          <w:tcPr>
            <w:tcW w:w="58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Cholécalciférol</w:t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Synthétisée par la </w:t>
            </w: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>peau</w:t>
            </w:r>
            <w:r>
              <w:rPr>
                <w:rFonts w:ascii="FreeSans" w:hAnsi="FreeSans"/>
                <w:sz w:val="16"/>
                <w:szCs w:val="16"/>
              </w:rPr>
              <w:t xml:space="preserve"> grâce à l’</w:t>
            </w: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>exposition solaire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Permet l’</w:t>
            </w: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 xml:space="preserve">absorption du calcium </w:t>
            </w:r>
            <w:r>
              <w:rPr>
                <w:rFonts w:ascii="FreeSans" w:hAnsi="FreeSans"/>
                <w:sz w:val="16"/>
                <w:szCs w:val="16"/>
              </w:rPr>
              <w:br/>
              <w:br/>
              <w:t xml:space="preserve">→ </w:t>
            </w:r>
            <w:r>
              <w:rPr>
                <w:rFonts w:ascii="FreeSans" w:hAnsi="FreeSans"/>
                <w:b/>
                <w:bCs/>
                <w:i/>
                <w:iCs/>
                <w:color w:val="F287B5"/>
                <w:sz w:val="16"/>
                <w:szCs w:val="16"/>
              </w:rPr>
              <w:t xml:space="preserve">80% </w:t>
            </w:r>
            <w:r>
              <w:rPr>
                <w:rFonts w:ascii="FreeSans" w:hAnsi="FreeSans"/>
                <w:i/>
                <w:iCs/>
                <w:sz w:val="16"/>
                <w:szCs w:val="16"/>
              </w:rPr>
              <w:t xml:space="preserve">de la population </w:t>
            </w:r>
            <w:r>
              <w:rPr>
                <w:rFonts w:ascii="FreeSans" w:hAnsi="FreeSans"/>
                <w:b/>
                <w:bCs/>
                <w:i/>
                <w:iCs/>
                <w:color w:val="F287B5"/>
                <w:sz w:val="16"/>
                <w:szCs w:val="16"/>
              </w:rPr>
              <w:t>manque</w:t>
            </w:r>
            <w:r>
              <w:rPr>
                <w:rFonts w:ascii="FreeSans" w:hAnsi="FreeSans"/>
                <w:i/>
                <w:iCs/>
                <w:sz w:val="16"/>
                <w:szCs w:val="16"/>
              </w:rPr>
              <w:t xml:space="preserve"> de </w:t>
            </w:r>
            <w:r>
              <w:rPr>
                <w:rFonts w:ascii="FreeSans" w:hAnsi="FreeSans"/>
                <w:b/>
                <w:bCs/>
                <w:i/>
                <w:iCs/>
                <w:color w:val="F287B5"/>
                <w:sz w:val="16"/>
                <w:szCs w:val="16"/>
              </w:rPr>
              <w:t>Vitamine D</w:t>
            </w:r>
            <w:r>
              <w:rPr>
                <w:rFonts w:ascii="FreeSans" w:hAnsi="FreeSans"/>
                <w:sz w:val="16"/>
                <w:szCs w:val="16"/>
              </w:rPr>
              <w:br/>
              <w:t>Attention au risque de carence à partir du 6ème mois</w:t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- Participe à la construction du </w:t>
            </w: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>squelette</w:t>
            </w:r>
            <w:r>
              <w:rPr>
                <w:rFonts w:ascii="FreeSans" w:hAnsi="FreeSans"/>
                <w:sz w:val="16"/>
                <w:szCs w:val="16"/>
              </w:rPr>
              <w:t xml:space="preserve">, et au au maintien d’une ossature normale </w:t>
              <w:br/>
              <w:t xml:space="preserve">- Participe au développement du </w:t>
            </w: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>système immunitaire</w:t>
            </w:r>
            <w:r>
              <w:rPr>
                <w:rFonts w:ascii="FreeSans" w:hAnsi="FreeSans"/>
                <w:sz w:val="16"/>
                <w:szCs w:val="16"/>
              </w:rPr>
              <w:t xml:space="preserve"> et du </w:t>
            </w:r>
            <w:r>
              <w:rPr>
                <w:rFonts w:ascii="FreeSans" w:hAnsi="FreeSans"/>
                <w:b/>
                <w:bCs/>
                <w:color w:val="F287B5"/>
                <w:sz w:val="16"/>
                <w:szCs w:val="16"/>
              </w:rPr>
              <w:t>système nerveux</w:t>
            </w:r>
            <w:r>
              <w:rPr>
                <w:rFonts w:ascii="FreeSans" w:hAnsi="FreeSans"/>
                <w:sz w:val="16"/>
                <w:szCs w:val="16"/>
              </w:rPr>
              <w:t>.</w:t>
            </w:r>
          </w:p>
        </w:tc>
      </w:tr>
      <w:tr>
        <w:trPr>
          <w:trHeight w:val="183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4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PRESCRIPTION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Soit une dose unique de 100 000 UI au 7ème mois  (Uvédose)</w:t>
              <w:br/>
              <w:t>• Soit un apport quotidien de 15 μg/j (</w:t>
            </w: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GESTAR</w:t>
            </w:r>
            <w:r>
              <w:rPr>
                <w:rFonts w:ascii="FreeSans" w:hAnsi="FreeSans"/>
                <w:b/>
                <w:color w:val="DE0058"/>
                <w:sz w:val="16"/>
                <w:szCs w:val="16"/>
              </w:rPr>
              <w:t>ELLE</w:t>
            </w:r>
            <w:r>
              <w:rPr>
                <w:rFonts w:ascii="FreeSans" w:hAnsi="FreeSans"/>
                <w:sz w:val="16"/>
                <w:szCs w:val="16"/>
              </w:rPr>
              <w:t xml:space="preserve">) </w:t>
              <w:br/>
              <w:t>(Équivalent à 150 000UI sur toute la durée de la grossesse)</w:t>
            </w:r>
          </w:p>
        </w:tc>
      </w:tr>
      <w:tr>
        <w:trPr>
          <w:trHeight w:val="115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VITAMINE E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12 mg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Tocophérol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561" w:hRule="atLeast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jc w:val="center"/>
              <w:rPr>
                <w:color w:val="CB2A6E"/>
                <w:eastAsianLayout w:vert="true"/>
              </w:rPr>
            </w:pPr>
            <w:r>
              <w:rPr>
                <w:rFonts w:ascii="FreeSans" w:hAnsi="FreeSans"/>
                <w:b/>
                <w:bCs/>
                <w:color w:val="B78DBB"/>
                <w:sz w:val="30"/>
                <w:szCs w:val="14"/>
                <w:eastAsianLayout w:vert="true"/>
              </w:rPr>
              <w:t>4 MINERAUX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  <w:eastAsianLayout w:vert="true"/>
              </w:rPr>
              <w:t xml:space="preserve">Micronutriments&gt;oligo-éléments </w:t>
            </w:r>
            <w:r>
              <w:rPr>
                <w:rFonts w:ascii="FreeSans" w:hAnsi="FreeSans"/>
                <w:b/>
                <w:bCs/>
                <w:color w:val="CB2A6E"/>
                <w:sz w:val="30"/>
                <w:szCs w:val="14"/>
                <w:eastAsianLayout w:vert="true"/>
              </w:rPr>
              <w:br/>
            </w:r>
          </w:p>
        </w:tc>
        <w:tc>
          <w:tcPr>
            <w:tcW w:w="17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color w:val="6C5160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6C5160"/>
                <w:sz w:val="16"/>
                <w:szCs w:val="16"/>
              </w:rPr>
              <w:t>FER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14 mg</w:t>
            </w:r>
          </w:p>
        </w:tc>
        <w:tc>
          <w:tcPr>
            <w:tcW w:w="89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58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Contribue à la formation normale de </w:t>
            </w:r>
            <w:r>
              <w:rPr>
                <w:rFonts w:eastAsia="Noto Serif CJK SC" w:cs="Lohit Devanagari" w:ascii="FreeSans" w:hAnsi="FreeSans"/>
                <w:b/>
                <w:bCs/>
                <w:color w:val="6C5160"/>
                <w:kern w:val="2"/>
                <w:sz w:val="16"/>
                <w:szCs w:val="16"/>
                <w:lang w:val="fr-FR" w:eastAsia="zh-CN" w:bidi="hi-IN"/>
              </w:rPr>
              <w:t>globules rouges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et d’</w:t>
            </w:r>
            <w:r>
              <w:rPr>
                <w:rFonts w:eastAsia="Noto Serif CJK SC" w:cs="Lohit Devanagari" w:ascii="FreeSans" w:hAnsi="FreeSans"/>
                <w:b/>
                <w:bCs/>
                <w:color w:val="6C5160"/>
                <w:kern w:val="2"/>
                <w:sz w:val="16"/>
                <w:szCs w:val="16"/>
                <w:lang w:val="fr-FR" w:eastAsia="zh-CN" w:bidi="hi-IN"/>
              </w:rPr>
              <w:t>hémoglobine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eastAsia="Noto Serif CJK SC" w:cs="Lohit Devanagari" w:ascii="FreeSans" w:hAnsi="FreeSans"/>
                <w:b/>
                <w:bCs/>
                <w:color w:val="6C5160"/>
                <w:kern w:val="2"/>
                <w:sz w:val="16"/>
                <w:szCs w:val="16"/>
                <w:lang w:val="fr-FR" w:eastAsia="zh-CN" w:bidi="hi-IN"/>
              </w:rPr>
              <w:t>Transport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et réserve d’</w:t>
            </w:r>
            <w:r>
              <w:rPr>
                <w:rFonts w:eastAsia="Noto Serif CJK SC" w:cs="Lohit Devanagari" w:ascii="FreeSans" w:hAnsi="FreeSans"/>
                <w:b/>
                <w:bCs/>
                <w:color w:val="6C5160"/>
                <w:kern w:val="2"/>
                <w:sz w:val="16"/>
                <w:szCs w:val="16"/>
                <w:lang w:val="fr-FR" w:eastAsia="zh-CN" w:bidi="hi-IN"/>
              </w:rPr>
              <w:t>oxygène</w:t>
            </w:r>
            <w:r>
              <w:rPr>
                <w:rFonts w:ascii="FreeSans" w:hAnsi="FreeSans"/>
                <w:b/>
                <w:bCs/>
                <w:color w:val="6C5160"/>
                <w:sz w:val="16"/>
                <w:szCs w:val="16"/>
              </w:rPr>
              <w:br/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Contribue à </w:t>
            </w:r>
            <w:r>
              <w:rPr>
                <w:rFonts w:eastAsia="Noto Serif CJK SC" w:cs="Lohit Devanagari" w:ascii="FreeSans" w:hAnsi="FreeSans"/>
                <w:b/>
                <w:bCs/>
                <w:color w:val="6C5160"/>
                <w:kern w:val="2"/>
                <w:sz w:val="16"/>
                <w:szCs w:val="16"/>
                <w:lang w:val="fr-FR" w:eastAsia="zh-CN" w:bidi="hi-IN"/>
              </w:rPr>
              <w:t>réduire la fatigue</w:t>
              <w:br/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→ </w:t>
            </w:r>
            <w:r>
              <w:rPr>
                <w:rFonts w:ascii="FreeSans" w:hAnsi="FreeSans"/>
                <w:b/>
                <w:bCs/>
                <w:i/>
                <w:iCs/>
                <w:color w:val="6C5160"/>
                <w:sz w:val="16"/>
                <w:szCs w:val="16"/>
              </w:rPr>
              <w:t>50%</w:t>
            </w:r>
            <w:r>
              <w:rPr>
                <w:rFonts w:ascii="FreeSans" w:hAnsi="FreeSans"/>
                <w:i/>
                <w:iCs/>
                <w:sz w:val="16"/>
                <w:szCs w:val="16"/>
              </w:rPr>
              <w:t xml:space="preserve"> des femmes enceintes sont </w:t>
            </w:r>
            <w:r>
              <w:rPr>
                <w:rFonts w:ascii="FreeSans" w:hAnsi="FreeSans"/>
                <w:b/>
                <w:bCs/>
                <w:i/>
                <w:iCs/>
                <w:color w:val="6C5160"/>
                <w:sz w:val="16"/>
                <w:szCs w:val="16"/>
              </w:rPr>
              <w:t>carencées</w:t>
            </w:r>
            <w:r>
              <w:rPr>
                <w:rFonts w:ascii="FreeSans" w:hAnsi="FreeSans"/>
                <w:i/>
                <w:iCs/>
                <w:sz w:val="16"/>
                <w:szCs w:val="16"/>
              </w:rPr>
              <w:t xml:space="preserve"> en </w:t>
            </w:r>
            <w:r>
              <w:rPr>
                <w:rFonts w:ascii="FreeSans" w:hAnsi="FreeSans"/>
                <w:b/>
                <w:bCs/>
                <w:i/>
                <w:iCs/>
                <w:color w:val="6C5160"/>
                <w:sz w:val="16"/>
                <w:szCs w:val="16"/>
              </w:rPr>
              <w:t>fer</w:t>
              <w:br/>
            </w:r>
            <w:r>
              <w:rPr>
                <w:rFonts w:ascii="FreeSans" w:hAnsi="FreeSans"/>
                <w:i/>
                <w:iCs/>
                <w:sz w:val="16"/>
                <w:szCs w:val="16"/>
              </w:rPr>
              <w:t>(Dosages sériques à surveiller)</w:t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6C5160"/>
                <w:sz w:val="16"/>
                <w:szCs w:val="16"/>
              </w:rPr>
              <w:t>- Prévient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6C5160"/>
                <w:sz w:val="16"/>
                <w:szCs w:val="16"/>
              </w:rPr>
              <w:t>l’anémie</w:t>
            </w:r>
            <w:r>
              <w:rPr>
                <w:rFonts w:ascii="FreeSans" w:hAnsi="FreeSans"/>
                <w:sz w:val="16"/>
                <w:szCs w:val="16"/>
              </w:rPr>
              <w:t xml:space="preserve"> chez la maman </w:t>
              <w:br/>
              <w:t>L’anémie pendant la grossesse augmente le risque de prématurité, de mortalité périnatale et d’hypotrophie fœtale</w:t>
            </w:r>
          </w:p>
        </w:tc>
      </w:tr>
      <w:tr>
        <w:trPr>
          <w:trHeight w:val="561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4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Bisglycinate de </w:t>
            </w:r>
            <w:r>
              <w:rPr>
                <w:rFonts w:ascii="FreeSans" w:hAnsi="FreeSans"/>
                <w:b/>
                <w:bCs/>
                <w:color w:val="6C5160"/>
                <w:sz w:val="16"/>
                <w:szCs w:val="16"/>
              </w:rPr>
              <w:t>fer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vs sulfate de </w:t>
            </w:r>
            <w:r>
              <w:rPr>
                <w:rFonts w:ascii="FreeSans" w:hAnsi="FreeSans"/>
                <w:b/>
                <w:bCs/>
                <w:color w:val="6C5160"/>
                <w:sz w:val="16"/>
                <w:szCs w:val="16"/>
              </w:rPr>
              <w:t>fer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(ancienne formule </w:t>
            </w: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GESTAR</w:t>
            </w:r>
            <w:r>
              <w:rPr>
                <w:rFonts w:ascii="FreeSans" w:hAnsi="FreeSans"/>
                <w:b/>
                <w:color w:val="DE0058"/>
                <w:sz w:val="16"/>
                <w:szCs w:val="16"/>
              </w:rPr>
              <w:t xml:space="preserve">ELLE G </w:t>
            </w:r>
            <w:r>
              <w:rPr>
                <w:rFonts w:ascii="FreeSans" w:hAnsi="FreeSans"/>
                <w:sz w:val="16"/>
                <w:szCs w:val="16"/>
              </w:rPr>
              <w:t>et Tardyferon®)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Meilleure absorption  • Meilleure tolérance  • Pas d'effet oxydant</w:t>
            </w:r>
          </w:p>
        </w:tc>
      </w:tr>
      <w:tr>
        <w:trPr>
          <w:trHeight w:val="100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color w:val="72C6A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72C6AE"/>
                <w:sz w:val="16"/>
                <w:szCs w:val="16"/>
              </w:rPr>
              <w:t>SÉLÉNIUM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55 µg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584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 xml:space="preserve">Puissant anti-oxydant </w:t>
              <w:br/>
              <w:t>• Assurant la production des hormones thyroïdiennes ➔ Favorise la croissance fœtale</w:t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- Diminue le stress oxydatif </w:t>
              <w:br/>
              <w:t>→ Le stress oxydatif pendant la grossesse est associé à des risques de fausses couches, de prééclampsie et de diabète gestationnel</w:t>
            </w:r>
          </w:p>
        </w:tc>
      </w:tr>
      <w:tr>
        <w:trPr>
          <w:trHeight w:val="100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CUIVRE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1000 µg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2783" w:type="dxa"/>
            <w:tcBorders>
              <w:lef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3060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  <w:tc>
          <w:tcPr>
            <w:tcW w:w="5047" w:type="dxa"/>
            <w:tcBorders/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100" w:hRule="atLeast"/>
        </w:trPr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bCs/>
                <w:color w:val="AD8397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AD8397"/>
                <w:sz w:val="16"/>
                <w:szCs w:val="16"/>
              </w:rPr>
              <w:t>IODE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150 µg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100</w:t>
            </w:r>
          </w:p>
        </w:tc>
        <w:tc>
          <w:tcPr>
            <w:tcW w:w="5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Contribue à une fonction thyroïdienne normale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Contribue à la production normale d’hormones thyroïdiennes</w:t>
            </w:r>
          </w:p>
        </w:tc>
        <w:tc>
          <w:tcPr>
            <w:tcW w:w="5047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DejaVu Sans Condensed" w:hAnsi="DejaVu Sans Condensed"/>
                <w:sz w:val="16"/>
                <w:szCs w:val="16"/>
              </w:rPr>
            </w:pPr>
            <w:r>
              <w:rPr>
                <w:rFonts w:ascii="DejaVu Sans Condensed" w:hAnsi="DejaVu Sans Condensed"/>
                <w:sz w:val="16"/>
                <w:szCs w:val="16"/>
              </w:rPr>
            </w:r>
          </w:p>
        </w:tc>
      </w:tr>
      <w:tr>
        <w:trPr>
          <w:trHeight w:val="405" w:hRule="atLeast"/>
        </w:trPr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b/>
                <w:b/>
                <w:bCs/>
                <w:color w:val="048B8E"/>
                <w:sz w:val="22"/>
                <w:szCs w:val="14"/>
              </w:rPr>
            </w:pPr>
            <w:r>
              <w:rPr>
                <w:rFonts w:ascii="FreeSans" w:hAnsi="FreeSans"/>
                <w:b/>
                <w:bCs/>
                <w:color w:val="048B8E"/>
                <w:sz w:val="22"/>
                <w:szCs w:val="14"/>
              </w:rPr>
              <w:t>OMÉGA3</w:t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HUILE DE POISSON</w:t>
              <w:br/>
              <w:t xml:space="preserve">-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dont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048B8E"/>
                <w:sz w:val="16"/>
                <w:szCs w:val="16"/>
              </w:rPr>
              <w:t>Oméga 3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br/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     - dont DHA</w:t>
              <w:br/>
              <w:t xml:space="preserve">      - dont EPA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386,4 mg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- </w:t>
            </w:r>
            <w:r>
              <w:rPr>
                <w:rFonts w:eastAsia="Noto Serif CJK SC" w:cs="Lohit Devanagari" w:ascii="FreeSans" w:hAnsi="FreeSans"/>
                <w:b/>
                <w:bCs/>
                <w:color w:val="048B8E"/>
                <w:kern w:val="2"/>
                <w:sz w:val="16"/>
                <w:szCs w:val="16"/>
                <w:lang w:val="fr-FR" w:eastAsia="zh-CN" w:bidi="hi-IN"/>
              </w:rPr>
              <w:t xml:space="preserve">246 mg 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    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- 200 mg  </w:t>
              <w:br/>
              <w:t xml:space="preserve">      - 25 mg</w:t>
            </w:r>
          </w:p>
        </w:tc>
        <w:tc>
          <w:tcPr>
            <w:tcW w:w="894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-</w:t>
            </w:r>
          </w:p>
        </w:tc>
        <w:tc>
          <w:tcPr>
            <w:tcW w:w="584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sz w:val="16"/>
                <w:szCs w:val="16"/>
              </w:rPr>
              <w:t>Participe à de nombreux processus (cardiovasculaire, cerveau, rétine)</w:t>
              <w:br/>
              <w:br/>
              <w:t xml:space="preserve">→ </w:t>
            </w:r>
            <w:r>
              <w:rPr>
                <w:rFonts w:ascii="FreeSans" w:hAnsi="FreeSans"/>
                <w:b/>
                <w:bCs/>
                <w:color w:val="048B8E"/>
                <w:sz w:val="16"/>
                <w:szCs w:val="16"/>
              </w:rPr>
              <w:t xml:space="preserve">DHA </w:t>
            </w:r>
            <w:r>
              <w:rPr>
                <w:rFonts w:ascii="FreeSans" w:hAnsi="FreeSans"/>
                <w:sz w:val="16"/>
                <w:szCs w:val="16"/>
              </w:rPr>
              <w:t xml:space="preserve">Acide docosahexanoïque </w:t>
              <w:br/>
              <w:t xml:space="preserve">→ </w:t>
            </w:r>
            <w:r>
              <w:rPr>
                <w:rFonts w:ascii="FreeSans" w:hAnsi="FreeSans"/>
                <w:b/>
                <w:bCs/>
                <w:color w:val="048B8E"/>
                <w:sz w:val="16"/>
                <w:szCs w:val="16"/>
              </w:rPr>
              <w:t xml:space="preserve">EPA </w:t>
            </w:r>
            <w:r>
              <w:rPr>
                <w:rFonts w:ascii="FreeSans" w:hAnsi="FreeSans"/>
                <w:sz w:val="16"/>
                <w:szCs w:val="16"/>
              </w:rPr>
              <w:t xml:space="preserve">Acide eicosapentanoïque </w:t>
            </w:r>
          </w:p>
        </w:tc>
        <w:tc>
          <w:tcPr>
            <w:tcW w:w="5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0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- Développement:</w:t>
              <w:br/>
              <w:t xml:space="preserve">• du </w:t>
            </w:r>
            <w:r>
              <w:rPr>
                <w:rFonts w:ascii="FreeSans" w:hAnsi="FreeSans"/>
                <w:b/>
                <w:bCs/>
                <w:color w:val="048B8E"/>
                <w:sz w:val="16"/>
                <w:szCs w:val="16"/>
              </w:rPr>
              <w:t>cerveau</w:t>
            </w:r>
            <w:r>
              <w:rPr>
                <w:rFonts w:ascii="FreeSans" w:hAnsi="FreeSans"/>
                <w:sz w:val="16"/>
                <w:szCs w:val="16"/>
              </w:rPr>
              <w:t xml:space="preserve"> du fœtus </w:t>
              <w:br/>
              <w:t xml:space="preserve">• des </w:t>
            </w:r>
            <w:r>
              <w:rPr>
                <w:rFonts w:ascii="FreeSans" w:hAnsi="FreeSans"/>
                <w:b/>
                <w:bCs/>
                <w:color w:val="048B8E"/>
                <w:sz w:val="16"/>
                <w:szCs w:val="16"/>
              </w:rPr>
              <w:t>facultés cognitives</w:t>
            </w:r>
            <w:r>
              <w:rPr>
                <w:rFonts w:ascii="FreeSans" w:hAnsi="FreeSans"/>
                <w:sz w:val="16"/>
                <w:szCs w:val="16"/>
              </w:rPr>
              <w:t xml:space="preserve"> de l’enfant pendant l’</w:t>
            </w:r>
            <w:r>
              <w:rPr>
                <w:rFonts w:ascii="FreeSans" w:hAnsi="FreeSans"/>
                <w:b/>
                <w:bCs/>
                <w:color w:val="EA0079"/>
                <w:sz w:val="16"/>
                <w:szCs w:val="16"/>
              </w:rPr>
              <w:t>allaitemen</w:t>
            </w:r>
            <w:r>
              <w:rPr>
                <w:rFonts w:ascii="FreeSans" w:hAnsi="FreeSans"/>
                <w:color w:val="EA0079"/>
                <w:sz w:val="16"/>
                <w:szCs w:val="16"/>
              </w:rPr>
              <w:t>t</w:t>
            </w:r>
            <w:r>
              <w:rPr>
                <w:rFonts w:ascii="FreeSans" w:hAnsi="FreeSans"/>
                <w:sz w:val="16"/>
                <w:szCs w:val="16"/>
              </w:rPr>
              <w:br/>
              <w:t xml:space="preserve">• des </w:t>
            </w:r>
            <w:r>
              <w:rPr>
                <w:rFonts w:ascii="FreeSans" w:hAnsi="FreeSans"/>
                <w:b/>
                <w:bCs/>
                <w:color w:val="048B8E"/>
                <w:sz w:val="16"/>
                <w:szCs w:val="16"/>
              </w:rPr>
              <w:t>facultés visuelles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16269" w:type="dxa"/>
        <w:jc w:val="left"/>
        <w:tblInd w:w="-9" w:type="dxa"/>
        <w:tblLayout w:type="fixed"/>
        <w:tblCellMar>
          <w:top w:w="28" w:type="dxa"/>
          <w:left w:w="57" w:type="dxa"/>
          <w:bottom w:w="28" w:type="dxa"/>
          <w:right w:w="0" w:type="dxa"/>
        </w:tblCellMar>
      </w:tblPr>
      <w:tblGrid>
        <w:gridCol w:w="1522"/>
        <w:gridCol w:w="3347"/>
        <w:gridCol w:w="3807"/>
        <w:gridCol w:w="7592"/>
      </w:tblGrid>
      <w:tr>
        <w:trPr>
          <w:trHeight w:val="76" w:hRule="atLeas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  <w:b/>
                <w:b/>
                <w:color w:val="595959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FORMES et PRÉSENTATIONS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ascii="FreeSans" w:hAnsi="FreeSans"/>
                <w:b/>
                <w:bCs/>
                <w:color w:val="595959"/>
                <w:sz w:val="16"/>
                <w:szCs w:val="16"/>
              </w:rPr>
              <w:t>GESTAR</w:t>
            </w:r>
            <w:r>
              <w:rPr>
                <w:rFonts w:ascii="FreeSans" w:hAnsi="FreeSans"/>
                <w:b/>
                <w:bCs/>
                <w:color w:val="DE0058"/>
                <w:sz w:val="16"/>
                <w:szCs w:val="16"/>
              </w:rPr>
              <w:t>ELLE G+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 :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Boite de 30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CAPSULES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  <w:br/>
              <w:t xml:space="preserve">→ PVC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~20€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FreeSans" w:hAnsi="FreeSans"/>
              </w:rPr>
            </w:pP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GESTAR</w:t>
            </w:r>
            <w:r>
              <w:rPr>
                <w:rFonts w:ascii="FreeSans" w:hAnsi="FreeSans"/>
                <w:b/>
                <w:color w:val="DE0058"/>
                <w:sz w:val="16"/>
                <w:szCs w:val="16"/>
              </w:rPr>
              <w:t>ELLE G3+</w:t>
            </w:r>
            <w:r>
              <w:rPr>
                <w:rFonts w:ascii="FreeSans" w:hAnsi="FreeSans"/>
                <w:sz w:val="16"/>
                <w:szCs w:val="16"/>
              </w:rPr>
              <w:t xml:space="preserve"> : 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→ </w:t>
            </w:r>
            <w:r>
              <w:rPr>
                <w:rFonts w:ascii="FreeSans" w:hAnsi="FreeSans"/>
                <w:sz w:val="16"/>
                <w:szCs w:val="16"/>
              </w:rPr>
              <w:t xml:space="preserve">Boite de 90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CAPSULES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  <w:br/>
              <w:t xml:space="preserve">→ PVC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~40€</w:t>
            </w:r>
          </w:p>
        </w:tc>
        <w:tc>
          <w:tcPr>
            <w:tcW w:w="7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/>
              </w:rPr>
            </w:pPr>
            <w:r>
              <w:rPr/>
              <w:drawing>
                <wp:inline distT="0" distB="0" distL="0" distR="0">
                  <wp:extent cx="4784725" cy="88011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725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5" w:hRule="atLeast"/>
        </w:trPr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/>
                <w:b/>
                <w:color w:val="59595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/>
                <w:color w:val="595959"/>
                <w:kern w:val="2"/>
                <w:sz w:val="16"/>
                <w:szCs w:val="16"/>
                <w:lang w:val="fr-FR" w:eastAsia="zh-CN" w:bidi="hi-IN"/>
              </w:rPr>
              <w:t>CONSEILS D’UTILISATION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1 capsule par jour </w:t>
              <w:br/>
              <w:t xml:space="preserve">- </w:t>
            </w:r>
            <w:r>
              <w:rPr>
                <w:rFonts w:ascii="FreeSans" w:hAnsi="FreeSans"/>
                <w:sz w:val="16"/>
                <w:szCs w:val="16"/>
              </w:rPr>
              <w:t>au cours du repas</w:t>
              <w:br/>
              <w:t>À utiliser en complément d’une alimentation variée et équilibrée et d’un mode de vie sain.</w:t>
            </w:r>
          </w:p>
        </w:tc>
        <w:tc>
          <w:tcPr>
            <w:tcW w:w="7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1" w:hRule="atLeast"/>
        </w:trPr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ascii="FreeSans" w:hAnsi="FreeSans" w:eastAsia="Noto Serif CJK SC" w:cs="Lohit Devanagari"/>
                <w:b/>
                <w:b/>
                <w:color w:val="595959"/>
                <w:kern w:val="2"/>
                <w:sz w:val="16"/>
                <w:szCs w:val="16"/>
                <w:lang w:val="fr-FR" w:eastAsia="zh-CN" w:bidi="hi-IN"/>
              </w:rPr>
            </w:pPr>
            <w:r>
              <w:rPr>
                <w:rFonts w:eastAsia="Noto Serif CJK SC" w:cs="Lohit Devanagari" w:ascii="FreeSans" w:hAnsi="FreeSans"/>
                <w:b/>
                <w:color w:val="595959"/>
                <w:kern w:val="2"/>
                <w:sz w:val="16"/>
                <w:szCs w:val="16"/>
                <w:lang w:val="fr-FR" w:eastAsia="zh-CN" w:bidi="hi-IN"/>
              </w:rPr>
              <w:t>PRÉCAUTIONS D'EMPLOI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FreeSans" w:hAnsi="FreeSans"/>
                <w:sz w:val="16"/>
                <w:szCs w:val="16"/>
              </w:rPr>
              <w:t xml:space="preserve">En cas de prise de Lévothyroxine, prendre </w:t>
            </w:r>
            <w:r>
              <w:rPr>
                <w:rFonts w:ascii="FreeSans" w:hAnsi="FreeSans"/>
                <w:b/>
                <w:color w:val="595959"/>
                <w:sz w:val="16"/>
                <w:szCs w:val="16"/>
              </w:rPr>
              <w:t>GESTAR</w:t>
            </w:r>
            <w:r>
              <w:rPr>
                <w:rFonts w:ascii="FreeSans" w:hAnsi="FreeSans"/>
                <w:b/>
                <w:color w:val="DE0058"/>
                <w:sz w:val="16"/>
                <w:szCs w:val="16"/>
              </w:rPr>
              <w:t>ELLE G+/G3+</w:t>
            </w:r>
            <w:r>
              <w:rPr>
                <w:rFonts w:ascii="FreeSans" w:hAnsi="FreeSans"/>
                <w:sz w:val="16"/>
                <w:szCs w:val="16"/>
              </w:rPr>
              <w:t xml:space="preserve"> à distance de plus de 2 heures.</w:t>
            </w:r>
          </w:p>
        </w:tc>
        <w:tc>
          <w:tcPr>
            <w:tcW w:w="7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603</Words>
  <Characters>3041</Characters>
  <CharactersWithSpaces>3623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2023-07-08T09:12:47Z</dcterms:created>
  <dc:creator/>
  <dc:description/>
  <dc:language>fr-FR</dc:language>
  <cp:lastModifiedBy/>
  <dcterms:modified xsi:type="dcterms:W3CDTF">2023-07-09T02:08:47Z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