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00" w:type="dxa"/>
        <w:jc w:val="left"/>
        <w:tblInd w:w="-3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583"/>
        <w:gridCol w:w="1876"/>
        <w:gridCol w:w="2213"/>
        <w:gridCol w:w="1470"/>
        <w:gridCol w:w="4258"/>
      </w:tblGrid>
      <w:tr>
        <w:trPr>
          <w:trHeight w:val="256" w:hRule="atLeast"/>
        </w:trPr>
        <w:tc>
          <w:tcPr>
            <w:tcW w:w="1583" w:type="dxa"/>
            <w:tcBorders/>
            <w:vAlign w:val="center"/>
          </w:tcPr>
          <w:p>
            <w:pPr>
              <w:pStyle w:val="Normal"/>
              <w:pageBreakBefore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5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000090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000090"/>
                <w:sz w:val="16"/>
                <w:szCs w:val="16"/>
              </w:rPr>
              <w:t xml:space="preserve">PHYSIOFLOR </w:t>
            </w:r>
            <w:r>
              <w:rPr>
                <w:rFonts w:ascii="FreeSans" w:hAnsi="FreeSans"/>
                <w:b/>
                <w:color w:val="000090"/>
                <w:sz w:val="16"/>
                <w:szCs w:val="16"/>
                <w:vertAlign w:val="superscript"/>
              </w:rPr>
              <w:t>®</w:t>
            </w:r>
            <w:r>
              <w:rPr>
                <w:rFonts w:ascii="FreeSans" w:hAnsi="FreeSans"/>
                <w:b/>
                <w:color w:val="000090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color w:val="BC0069"/>
                <w:sz w:val="16"/>
                <w:szCs w:val="16"/>
              </w:rPr>
              <w:t>AC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FreeSans" w:hAnsi="FreeSans"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000090"/>
                <w:sz w:val="16"/>
                <w:szCs w:val="16"/>
              </w:rPr>
              <w:t>PHYSIOFLOR</w:t>
            </w:r>
            <w:r>
              <w:rPr>
                <w:rFonts w:ascii="FreeSans" w:hAnsi="FreeSans"/>
                <w:b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sz w:val="16"/>
                <w:szCs w:val="16"/>
                <w:vertAlign w:val="superscript"/>
              </w:rPr>
              <w:t>®</w:t>
            </w:r>
            <w:r>
              <w:rPr>
                <w:rFonts w:ascii="FreeSans" w:hAnsi="FreeSans"/>
                <w:b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FD6598"/>
                <w:sz w:val="16"/>
                <w:szCs w:val="16"/>
              </w:rPr>
              <w:t>ORAL</w:t>
            </w:r>
          </w:p>
        </w:tc>
      </w:tr>
      <w:tr>
        <w:trPr>
          <w:trHeight w:val="1711" w:hRule="atLeast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INDICATIONS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/>
            </w:pPr>
            <w:r>
              <w:rPr>
                <w:rFonts w:ascii="FreeSans" w:hAnsi="FreeSans"/>
                <w:sz w:val="16"/>
                <w:szCs w:val="16"/>
              </w:rPr>
              <w:t xml:space="preserve">Pour soulager les symptômes de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VAGINOSES BACTÉRIENNES</w:t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000000"/>
                <w:sz w:val="16"/>
                <w:szCs w:val="16"/>
                <w:shd w:fill="auto" w:val="clear"/>
              </w:rPr>
              <w:t xml:space="preserve">1 femme / 5 </w:t>
            </w:r>
            <w:r>
              <w:rPr>
                <w:rFonts w:ascii="FreeSans" w:hAnsi="FreeSans"/>
                <w:b w:val="false"/>
                <w:bCs w:val="false"/>
                <w:color w:val="000000"/>
                <w:sz w:val="16"/>
                <w:szCs w:val="16"/>
                <w:shd w:fill="auto" w:val="clear"/>
              </w:rPr>
              <w:t xml:space="preserve">en </w:t>
            </w:r>
            <w:r>
              <w:rPr>
                <w:rFonts w:ascii="FreeSans" w:hAnsi="FreeSans"/>
                <w:b w:val="false"/>
                <w:bCs w:val="false"/>
                <w:color w:val="000000"/>
                <w:sz w:val="16"/>
                <w:szCs w:val="16"/>
                <w:shd w:fill="auto" w:val="clear"/>
              </w:rPr>
              <w:t>souffre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color w:val="BC0069"/>
                <w:sz w:val="16"/>
                <w:szCs w:val="16"/>
              </w:rPr>
              <w:t>Inconfort</w:t>
            </w:r>
            <w:r>
              <w:rPr>
                <w:rFonts w:ascii="FreeSans" w:hAnsi="FreeSans"/>
                <w:sz w:val="16"/>
                <w:szCs w:val="16"/>
              </w:rPr>
              <w:t xml:space="preserve"> vaginal et </w:t>
            </w:r>
            <w:r>
              <w:rPr>
                <w:rFonts w:ascii="FreeSans" w:hAnsi="FreeSans"/>
                <w:color w:val="BC0069"/>
                <w:sz w:val="16"/>
                <w:szCs w:val="16"/>
              </w:rPr>
              <w:t>désagréments</w:t>
            </w:r>
            <w:r>
              <w:rPr>
                <w:rFonts w:ascii="FreeSans" w:hAnsi="FreeSans"/>
                <w:sz w:val="16"/>
                <w:szCs w:val="16"/>
              </w:rPr>
              <w:t xml:space="preserve"> intimes :</w:t>
              <w:br/>
              <w:t xml:space="preserve">• </w:t>
            </w:r>
            <w:r>
              <w:rPr>
                <w:rFonts w:ascii="FreeSans" w:hAnsi="FreeSans"/>
                <w:color w:val="BC0069"/>
                <w:sz w:val="16"/>
                <w:szCs w:val="16"/>
              </w:rPr>
              <w:t>Odeurs</w:t>
            </w:r>
            <w:r>
              <w:rPr>
                <w:rFonts w:ascii="FreeSans" w:hAnsi="FreeSans"/>
                <w:sz w:val="16"/>
                <w:szCs w:val="16"/>
              </w:rPr>
              <w:t xml:space="preserve"> désagréables </w:t>
              <w:br/>
              <w:t xml:space="preserve">• </w:t>
            </w:r>
            <w:r>
              <w:rPr>
                <w:rFonts w:ascii="FreeSans" w:hAnsi="FreeSans"/>
                <w:color w:val="BC0069"/>
                <w:sz w:val="16"/>
                <w:szCs w:val="16"/>
              </w:rPr>
              <w:t>Démangeaisons</w:t>
            </w:r>
            <w:r>
              <w:rPr>
                <w:rFonts w:ascii="FreeSans" w:hAnsi="FreeSans"/>
                <w:sz w:val="16"/>
                <w:szCs w:val="16"/>
              </w:rPr>
              <w:t xml:space="preserve"> - </w:t>
            </w:r>
            <w:r>
              <w:rPr>
                <w:rFonts w:ascii="FreeSans" w:hAnsi="FreeSans"/>
                <w:sz w:val="16"/>
                <w:szCs w:val="16"/>
              </w:rPr>
              <w:t>irritations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• </w:t>
            </w:r>
            <w:r>
              <w:rPr>
                <w:rFonts w:ascii="FreeSans" w:hAnsi="FreeSans"/>
                <w:color w:val="BC0069"/>
                <w:sz w:val="16"/>
                <w:szCs w:val="16"/>
              </w:rPr>
              <w:t>Pertes</w:t>
            </w:r>
            <w:r>
              <w:rPr>
                <w:rFonts w:ascii="FreeSans" w:hAnsi="FreeSans"/>
                <w:sz w:val="16"/>
                <w:szCs w:val="16"/>
              </w:rPr>
              <w:t xml:space="preserve"> inhabituelles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et aider à prévenir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les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RÉCIDIVES</w:t>
            </w:r>
            <w:r>
              <w:rPr>
                <w:rFonts w:ascii="FreeSans" w:hAnsi="FreeSans"/>
                <w:sz w:val="16"/>
                <w:szCs w:val="16"/>
              </w:rPr>
              <w:t xml:space="preserve"> d’infections</w:t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>1 femme / 2 récidive 6 mois après le traitement antibiotique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b/>
                <w:b/>
                <w:bCs/>
                <w:color w:val="92D050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92D050"/>
                <w:sz w:val="16"/>
                <w:szCs w:val="16"/>
              </w:rPr>
              <w:t>Prend soin de la flore intime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color w:val="92D050"/>
                <w:sz w:val="16"/>
                <w:szCs w:val="16"/>
              </w:rPr>
            </w:pPr>
            <w:r>
              <w:rPr>
                <w:rFonts w:ascii="FreeSans" w:hAnsi="FreeSans"/>
                <w:color w:val="auto"/>
                <w:sz w:val="16"/>
                <w:szCs w:val="16"/>
              </w:rPr>
              <w:t>en complément dess traitements contre les</w:t>
            </w:r>
            <w:r>
              <w:rPr>
                <w:rFonts w:ascii="FreeSans" w:hAnsi="FreeSans"/>
                <w:color w:val="92D050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FD6598"/>
                <w:sz w:val="16"/>
                <w:szCs w:val="16"/>
              </w:rPr>
              <w:t>MYCOSES</w:t>
            </w:r>
            <w:r>
              <w:rPr>
                <w:rFonts w:ascii="FreeSans" w:hAnsi="FreeSans"/>
                <w:color w:val="92D050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color w:val="auto"/>
                <w:sz w:val="16"/>
                <w:szCs w:val="16"/>
              </w:rPr>
              <w:t xml:space="preserve">et les </w:t>
            </w:r>
            <w:r>
              <w:rPr>
                <w:rFonts w:ascii="FreeSans" w:hAnsi="FreeSans"/>
                <w:b/>
                <w:bCs/>
                <w:color w:val="FD6598"/>
                <w:sz w:val="16"/>
                <w:szCs w:val="16"/>
              </w:rPr>
              <w:t>VAGINOSES</w:t>
            </w:r>
            <w:r>
              <w:rPr>
                <w:rFonts w:ascii="FreeSans" w:hAnsi="FreeSans"/>
                <w:b/>
                <w:bCs/>
                <w:color w:val="92D050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FD6598"/>
                <w:sz w:val="16"/>
                <w:szCs w:val="16"/>
              </w:rPr>
              <w:t>BACTÉRIENNES</w:t>
            </w:r>
          </w:p>
        </w:tc>
      </w:tr>
      <w:tr>
        <w:trPr>
          <w:trHeight w:val="377" w:hRule="atLeast"/>
        </w:trPr>
        <w:tc>
          <w:tcPr>
            <w:tcW w:w="158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COMPOSITION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bCs w:val="false"/>
                <w:sz w:val="14"/>
                <w:szCs w:val="14"/>
              </w:rPr>
              <w:t>* UFC = Unité formant colonie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ACIDE LACTIQUE 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GOS α 1-6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GLYCÉROL 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1264" w:hRule="atLeast"/>
        </w:trPr>
        <w:tc>
          <w:tcPr>
            <w:tcW w:w="158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Rétablit rapidement le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pH vaginal acide optimal</w:t>
            </w:r>
            <w:r>
              <w:rPr>
                <w:rFonts w:ascii="FreeSans" w:hAnsi="FreeSans"/>
                <w:sz w:val="16"/>
                <w:szCs w:val="16"/>
              </w:rPr>
              <w:t xml:space="preserve"> en créant un environnement favorable à la croissance des lactobacilles. Limite la prolifération des germes pathogènes. 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Restaure la flore vaginale en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stimulant la croissance des bons lactobacilles</w:t>
            </w:r>
            <w:r>
              <w:rPr>
                <w:rFonts w:ascii="FreeSans" w:hAnsi="FreeSans"/>
                <w:sz w:val="16"/>
                <w:szCs w:val="16"/>
              </w:rPr>
              <w:t>.</w:t>
              <w:br/>
              <w:t xml:space="preserve">&gt; Affinité avec </w:t>
            </w:r>
            <w:r>
              <w:rPr>
                <w:rFonts w:ascii="FreeSans" w:hAnsi="FreeSans"/>
                <w:color w:val="000090"/>
                <w:sz w:val="16"/>
                <w:szCs w:val="16"/>
              </w:rPr>
              <w:t>Lactobacillus crispatus, marqueur majeur de la santé de la flore vaginale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Ne stimule pas la croissance des souches pathogènes.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Hydrate</w:t>
            </w:r>
            <w:r>
              <w:rPr>
                <w:rFonts w:ascii="FreeSans" w:hAnsi="FreeSans"/>
                <w:sz w:val="16"/>
                <w:szCs w:val="16"/>
              </w:rPr>
              <w:t xml:space="preserve"> ,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régénère</w:t>
            </w:r>
            <w:r>
              <w:rPr>
                <w:rFonts w:ascii="FreeSans" w:hAnsi="FreeSans"/>
                <w:sz w:val="16"/>
                <w:szCs w:val="16"/>
              </w:rPr>
              <w:t xml:space="preserve"> et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protège</w:t>
            </w:r>
            <w:r>
              <w:rPr>
                <w:rFonts w:ascii="FreeSans" w:hAnsi="FreeSans"/>
                <w:sz w:val="16"/>
                <w:szCs w:val="16"/>
              </w:rPr>
              <w:t xml:space="preserve"> l’épithélium vaginal de la déshydratation grâce à ses propriétés de rétention d’eau. 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Ingrédients :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Agent de charge : </w:t>
              <w:br/>
              <w:t xml:space="preserve">fructo-oligosaccharides, </w:t>
            </w:r>
            <w:r>
              <w:rPr>
                <w:rFonts w:ascii="FreeSans" w:hAnsi="FreeSans"/>
                <w:sz w:val="16"/>
                <w:szCs w:val="16"/>
              </w:rPr>
              <w:t>c</w:t>
            </w:r>
            <w:r>
              <w:rPr>
                <w:rFonts w:ascii="FreeSans" w:hAnsi="FreeSans"/>
                <w:sz w:val="16"/>
                <w:szCs w:val="16"/>
              </w:rPr>
              <w:t xml:space="preserve">ulture lyophilisée de </w:t>
            </w:r>
            <w:r>
              <w:rPr>
                <w:rFonts w:ascii="FreeSans" w:hAnsi="FreeSans"/>
                <w:b/>
                <w:bCs/>
                <w:color w:val="92D050"/>
                <w:sz w:val="16"/>
                <w:szCs w:val="16"/>
              </w:rPr>
              <w:t>Lactobacillus crispatus</w:t>
            </w:r>
            <w:r>
              <w:rPr>
                <w:rFonts w:ascii="FreeSans" w:hAnsi="FreeSans"/>
                <w:sz w:val="16"/>
                <w:szCs w:val="16"/>
              </w:rPr>
              <w:t xml:space="preserve">.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Antiagglomérants : sels de magnésium d'acide gras.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Agents d'enrobage (enveloppe) : hydroxypropylméthylcellulose et gomme gellane.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Contient du lait.</w:t>
            </w:r>
          </w:p>
        </w:tc>
      </w:tr>
      <w:tr>
        <w:trPr>
          <w:trHeight w:val="2029" w:hRule="atLeas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PROPRIÉTÉS  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Rétablit le pH</w:t>
            </w:r>
            <w:r>
              <w:rPr>
                <w:rFonts w:ascii="FreeSans" w:hAnsi="FreeSans"/>
                <w:sz w:val="16"/>
                <w:szCs w:val="16"/>
              </w:rPr>
              <w:t xml:space="preserve"> vaginal</w:t>
              <w:br/>
              <w:t>• P</w:t>
            </w:r>
            <w:r>
              <w:rPr>
                <w:rFonts w:ascii="FreeSans" w:hAnsi="FreeSans"/>
                <w:sz w:val="16"/>
                <w:szCs w:val="16"/>
              </w:rPr>
              <w:t xml:space="preserve">ermet de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réacidifier le pH </w:t>
            </w:r>
            <w:r>
              <w:rPr>
                <w:rFonts w:ascii="FreeSans" w:hAnsi="FreeSans"/>
                <w:sz w:val="16"/>
                <w:szCs w:val="16"/>
              </w:rPr>
              <w:t>vaginal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Restaure la flore</w:t>
            </w:r>
            <w:r>
              <w:rPr>
                <w:rFonts w:ascii="FreeSans" w:hAnsi="FreeSans"/>
                <w:sz w:val="16"/>
                <w:szCs w:val="16"/>
              </w:rPr>
              <w:t xml:space="preserve"> vaginale </w:t>
              <w:br/>
              <w:t>• F</w:t>
            </w:r>
            <w:r>
              <w:rPr>
                <w:rFonts w:ascii="FreeSans" w:hAnsi="FreeSans"/>
                <w:sz w:val="16"/>
                <w:szCs w:val="16"/>
              </w:rPr>
              <w:t>avoris</w:t>
            </w:r>
            <w:r>
              <w:rPr>
                <w:rFonts w:ascii="FreeSans" w:hAnsi="FreeSans"/>
                <w:sz w:val="16"/>
                <w:szCs w:val="16"/>
              </w:rPr>
              <w:t>e</w:t>
            </w:r>
            <w:r>
              <w:rPr>
                <w:rFonts w:ascii="FreeSans" w:hAnsi="FreeSans"/>
                <w:sz w:val="16"/>
                <w:szCs w:val="16"/>
              </w:rPr>
              <w:t xml:space="preserve"> la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croissance des bons lactobacilles sans stimuler celle des souches pathogènes.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Soulage les symptômes</w:t>
            </w:r>
            <w:r>
              <w:rPr>
                <w:rFonts w:ascii="FreeSans" w:hAnsi="FreeSans"/>
                <w:sz w:val="16"/>
                <w:szCs w:val="16"/>
              </w:rPr>
              <w:t xml:space="preserve"> de l’inconfort vaginal : </w:t>
              <w:br/>
              <w:t xml:space="preserve">• odeurs désagréables </w:t>
              <w:br/>
              <w:t xml:space="preserve">• démangeaisons </w:t>
              <w:br/>
              <w:t xml:space="preserve">• pertes inhabituelles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P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rév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i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en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t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 les récidives </w:t>
            </w:r>
            <w:r>
              <w:rPr>
                <w:rFonts w:ascii="FreeSans" w:hAnsi="FreeSans"/>
                <w:sz w:val="16"/>
                <w:szCs w:val="16"/>
              </w:rPr>
              <w:t xml:space="preserve">de la vaginose bactérienne 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875" w:hRule="atLeas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FORMES et PRÉSENTATIONS 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  <w:shd w:fill="auto" w:val="clear"/>
              </w:rPr>
              <w:t>8 unidoses de 5 ml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PVC : 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t>~ 18 €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Insérer au fond du vagin le soir au coucher</w:t>
              <w:br/>
            </w: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Ne pas avaler</w:t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Ne pas utiliser pendant les règles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92D050"/>
                <w:sz w:val="16"/>
                <w:szCs w:val="16"/>
                <w:shd w:fill="auto" w:val="clear"/>
              </w:rPr>
              <w:t>30 gélules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92D050"/>
                <w:sz w:val="16"/>
                <w:szCs w:val="16"/>
                <w:u w:val="none"/>
                <w:shd w:fill="auto" w:val="clear"/>
                <w:em w:val="none"/>
              </w:rPr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>1 gélulle =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color w:val="92D050"/>
                <w:sz w:val="16"/>
                <w:szCs w:val="16"/>
              </w:rPr>
              <w:t>10</w:t>
            </w:r>
            <w:r>
              <w:rPr>
                <w:rFonts w:ascii="FreeSans" w:hAnsi="FreeSans"/>
                <w:color w:val="92D050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color w:val="92D050"/>
                <w:sz w:val="16"/>
                <w:szCs w:val="16"/>
              </w:rPr>
              <w:t xml:space="preserve"> UFC* de </w:t>
            </w:r>
            <w:r>
              <w:rPr>
                <w:rFonts w:ascii="FreeSans" w:hAnsi="FreeSans"/>
                <w:b/>
                <w:bCs/>
                <w:color w:val="92D050"/>
                <w:sz w:val="16"/>
                <w:szCs w:val="16"/>
              </w:rPr>
              <w:t>Lactobacillus crispatus</w:t>
            </w:r>
            <w:r>
              <w:rPr>
                <w:rFonts w:ascii="FreeSans" w:hAnsi="FreeSans"/>
                <w:b/>
                <w:bCs/>
                <w:color w:val="000090"/>
                <w:sz w:val="16"/>
                <w:szCs w:val="16"/>
              </w:rPr>
              <w:br/>
            </w:r>
            <w:r>
              <w:rPr>
                <w:rFonts w:ascii="FreeSans" w:hAnsi="FreeSans"/>
                <w:sz w:val="12"/>
                <w:szCs w:val="12"/>
              </w:rPr>
              <w:t>(souche IP174178 brevetée)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Souche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vivante</w:t>
            </w:r>
            <w:r>
              <w:rPr>
                <w:rFonts w:ascii="FreeSans" w:hAnsi="FreeSans"/>
                <w:sz w:val="16"/>
                <w:szCs w:val="16"/>
              </w:rPr>
              <w:t xml:space="preserve">,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stabilisée</w:t>
            </w:r>
            <w:r>
              <w:rPr>
                <w:rFonts w:ascii="FreeSans" w:hAnsi="FreeSans"/>
                <w:sz w:val="16"/>
                <w:szCs w:val="16"/>
              </w:rPr>
              <w:t xml:space="preserve"> et naturellement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résistante</w:t>
            </w:r>
            <w:r>
              <w:rPr>
                <w:rFonts w:ascii="FreeSans" w:hAnsi="FreeSans"/>
                <w:sz w:val="16"/>
                <w:szCs w:val="16"/>
              </w:rPr>
              <w:t xml:space="preserve"> au passage gastro-duodénal, au pH gastrique acide </w:t>
            </w:r>
            <w:r>
              <w:rPr>
                <w:rFonts w:ascii="FreeSans" w:hAnsi="FreeSans"/>
                <w:sz w:val="16"/>
                <w:szCs w:val="16"/>
              </w:rPr>
              <w:t>(bile)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br/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 xml:space="preserve">• En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gélules gastro-résistante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shd w:fill="auto" w:val="clear"/>
                <w:em w:val="none"/>
              </w:rPr>
              <w:t xml:space="preserve">PVC :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92D050"/>
                <w:sz w:val="16"/>
                <w:szCs w:val="16"/>
                <w:u w:val="none"/>
                <w:shd w:fill="auto" w:val="clear"/>
                <w:em w:val="none"/>
              </w:rPr>
              <w:t>~13 €</w:t>
            </w:r>
          </w:p>
        </w:tc>
      </w:tr>
      <w:tr>
        <w:trPr>
          <w:trHeight w:val="773" w:hRule="atLeas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POSOLOGIE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É</w:t>
            </w:r>
            <w:r>
              <w:rPr>
                <w:rFonts w:ascii="FreeSans" w:hAnsi="FreeSans"/>
                <w:sz w:val="16"/>
                <w:szCs w:val="16"/>
              </w:rPr>
              <w:t>pisode de vaginose bactérienne isolé</w:t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1 unidose/j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pdt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 8 jours consécutifs</w:t>
            </w:r>
          </w:p>
          <w:p>
            <w:pPr>
              <w:pStyle w:val="Normal"/>
              <w:tabs>
                <w:tab w:val="clear" w:pos="709"/>
                <w:tab w:val="left" w:pos="552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R</w:t>
            </w:r>
            <w:r>
              <w:rPr>
                <w:rFonts w:ascii="FreeSans" w:hAnsi="FreeSans"/>
                <w:sz w:val="16"/>
                <w:szCs w:val="16"/>
              </w:rPr>
              <w:t>écidive de vaginose bactérienne</w:t>
              <w:br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1 unidose/j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pdt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 8 jours consécutifs</w:t>
            </w:r>
            <w:r>
              <w:rPr>
                <w:rFonts w:ascii="FreeSans" w:hAnsi="FreeSans"/>
                <w:color w:val="BC0069"/>
                <w:sz w:val="16"/>
                <w:szCs w:val="16"/>
              </w:rPr>
              <w:t xml:space="preserve"> </w:t>
              <w:br/>
            </w:r>
            <w:r>
              <w:rPr>
                <w:rFonts w:ascii="FreeSans" w:hAnsi="FreeSans"/>
                <w:sz w:val="16"/>
                <w:szCs w:val="16"/>
              </w:rPr>
              <w:t xml:space="preserve">à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renouveler 1 fois / mois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pdt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 xml:space="preserve"> 6 </w:t>
            </w:r>
            <w:r>
              <w:rPr>
                <w:rFonts w:ascii="FreeSans" w:hAnsi="FreeSans"/>
                <w:b/>
                <w:bCs/>
                <w:color w:val="BC0069"/>
                <w:sz w:val="16"/>
                <w:szCs w:val="16"/>
              </w:rPr>
              <w:t>mois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E</w:t>
            </w:r>
            <w:r>
              <w:rPr>
                <w:rFonts w:ascii="FreeSans" w:hAnsi="FreeSans"/>
                <w:sz w:val="16"/>
                <w:szCs w:val="16"/>
              </w:rPr>
              <w:t>n cas de besoin</w:t>
            </w:r>
            <w:r>
              <w:rPr>
                <w:rFonts w:ascii="FreeSans" w:hAnsi="FreeSans"/>
                <w:sz w:val="16"/>
                <w:szCs w:val="16"/>
              </w:rPr>
              <w:t xml:space="preserve"> :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 xml:space="preserve">2 gélules / j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pdt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 xml:space="preserve"> 15 jours</w:t>
            </w:r>
            <w:r>
              <w:rPr>
                <w:rFonts w:ascii="FreeSans" w:hAnsi="FreeSans"/>
                <w:sz w:val="16"/>
                <w:szCs w:val="16"/>
              </w:rPr>
              <w:t xml:space="preserve">. </w:t>
              <w:br/>
            </w:r>
            <w:r>
              <w:rPr>
                <w:rFonts w:ascii="FreeSans" w:hAnsi="FreeSans"/>
                <w:sz w:val="14"/>
                <w:szCs w:val="14"/>
              </w:rPr>
              <w:t>Peut être utilisé en complément d'un traitement par voie vaginale.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E</w:t>
            </w:r>
            <w:r>
              <w:rPr>
                <w:rFonts w:ascii="FreeSans" w:hAnsi="FreeSans"/>
                <w:sz w:val="16"/>
                <w:szCs w:val="16"/>
              </w:rPr>
              <w:t>n entretien</w:t>
            </w:r>
            <w:r>
              <w:rPr>
                <w:rFonts w:ascii="FreeSans" w:hAnsi="FreeSans"/>
                <w:sz w:val="16"/>
                <w:szCs w:val="16"/>
              </w:rPr>
              <w:t> :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5"/>
                <w:szCs w:val="16"/>
                <w:u w:val="none"/>
                <w:shd w:fill="auto" w:val="clear"/>
                <w:em w:val="none"/>
              </w:rPr>
              <w:t>→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5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D6598"/>
                <w:sz w:val="16"/>
                <w:szCs w:val="16"/>
                <w:u w:val="none"/>
                <w:shd w:fill="auto" w:val="clear"/>
                <w:em w:val="none"/>
              </w:rPr>
              <w:t>1 gélule / j pdt 1 mois.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  <w:br/>
            </w:r>
            <w:r>
              <w:rPr>
                <w:rFonts w:ascii="FreeSans" w:hAnsi="FreeSans"/>
                <w:sz w:val="14"/>
                <w:szCs w:val="14"/>
              </w:rPr>
              <w:t xml:space="preserve">A renouveler si besoin.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Avaler avec un verre d'eau, de préférence avant le repas</w:t>
            </w:r>
          </w:p>
        </w:tc>
      </w:tr>
      <w:tr>
        <w:trPr>
          <w:trHeight w:val="322" w:hRule="atLeas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CONTRE-INDICATIONS  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Ne pas utiliser Physioflor Oral en cas d'hypersensibilité à l'un des composants.</w:t>
            </w:r>
          </w:p>
        </w:tc>
      </w:tr>
      <w:tr>
        <w:trPr>
          <w:trHeight w:val="1999" w:hRule="atLeas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PRÉCAUTIONS D'EMPLOI  </w:t>
            </w:r>
          </w:p>
        </w:tc>
        <w:tc>
          <w:tcPr>
            <w:tcW w:w="5559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Si une maladie associée à une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atteinte du système immunitaire</w:t>
            </w:r>
            <w:r>
              <w:rPr>
                <w:rFonts w:ascii="FreeSans" w:hAnsi="FreeSans"/>
                <w:sz w:val="16"/>
                <w:szCs w:val="16"/>
              </w:rPr>
              <w:t xml:space="preserve"> (exemple : sida) a été diagnostiquée, les lactobacilles ne doivent être ingérés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que sous surveillance médicale</w:t>
            </w:r>
            <w:r>
              <w:rPr>
                <w:rFonts w:ascii="FreeSans" w:hAnsi="FreeSans"/>
                <w:sz w:val="16"/>
                <w:szCs w:val="16"/>
              </w:rPr>
              <w:t xml:space="preserve"> en raison du risque possible de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bactériémie</w:t>
            </w:r>
            <w:r>
              <w:rPr>
                <w:rFonts w:ascii="FreeSans" w:hAnsi="FreeSans"/>
                <w:sz w:val="16"/>
                <w:szCs w:val="16"/>
              </w:rPr>
              <w:t xml:space="preserve">.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Ne pas dépasser la dose journalière recommandée.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A consommer dans le cadre d'une </w:t>
            </w:r>
            <w:r>
              <w:rPr>
                <w:rFonts w:ascii="FreeSans" w:hAnsi="FreeSans"/>
                <w:sz w:val="16"/>
                <w:szCs w:val="16"/>
                <w:u w:val="single"/>
              </w:rPr>
              <w:t>alimentation variée, équilibrée</w:t>
            </w:r>
            <w:r>
              <w:rPr>
                <w:rFonts w:ascii="FreeSans" w:hAnsi="FreeSans"/>
                <w:sz w:val="16"/>
                <w:szCs w:val="16"/>
              </w:rPr>
              <w:t xml:space="preserve"> et d'un </w:t>
            </w:r>
            <w:r>
              <w:rPr>
                <w:rFonts w:ascii="FreeSans" w:hAnsi="FreeSans"/>
                <w:sz w:val="16"/>
                <w:szCs w:val="16"/>
                <w:u w:val="single"/>
              </w:rPr>
              <w:t>mode de vie sain</w:t>
            </w:r>
            <w:r>
              <w:rPr>
                <w:rFonts w:ascii="FreeSans" w:hAnsi="FreeSans"/>
                <w:sz w:val="16"/>
                <w:szCs w:val="16"/>
              </w:rPr>
              <w:t>.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Tenir hors de portée des enfants.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Utilisation pendant la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grossesse</w:t>
            </w:r>
            <w:r>
              <w:rPr>
                <w:rFonts w:ascii="FreeSans" w:hAnsi="FreeSans"/>
                <w:sz w:val="16"/>
                <w:szCs w:val="16"/>
              </w:rPr>
              <w:t xml:space="preserve"> et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l'allaitement </w:t>
            </w:r>
            <w:r>
              <w:rPr>
                <w:rFonts w:ascii="FreeSans" w:hAnsi="FreeSans"/>
                <w:sz w:val="16"/>
                <w:szCs w:val="16"/>
              </w:rPr>
              <w:t xml:space="preserve">: </w:t>
            </w:r>
          </w:p>
          <w:p>
            <w:pPr>
              <w:pStyle w:val="TableContents"/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En cas de grossesse ou si une grossesse est envisagée, un médecin doit être consulté avant d'utiliser </w:t>
            </w:r>
            <w:r>
              <w:rPr>
                <w:rFonts w:ascii="FreeSans" w:hAnsi="FreeSans"/>
                <w:sz w:val="16"/>
                <w:szCs w:val="16"/>
              </w:rPr>
              <w:t>PO</w:t>
            </w:r>
            <w:r>
              <w:rPr>
                <w:rFonts w:ascii="FreeSans" w:hAnsi="FreeSans"/>
                <w:sz w:val="16"/>
                <w:szCs w:val="16"/>
              </w:rPr>
              <w:t>.</w:t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PO</w:t>
            </w:r>
            <w:r>
              <w:rPr>
                <w:rFonts w:ascii="FreeSans" w:hAnsi="FreeSans"/>
                <w:sz w:val="16"/>
                <w:szCs w:val="16"/>
              </w:rPr>
              <w:t xml:space="preserve"> peut être utilisé pendant l'allaitement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509</Words>
  <Characters>2713</Characters>
  <CharactersWithSpaces>3205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2023-07-09T11:42:55Z</dcterms:created>
  <dc:creator/>
  <dc:description/>
  <dc:language>fr-FR</dc:language>
  <cp:lastModifiedBy/>
  <dcterms:modified xsi:type="dcterms:W3CDTF">2023-07-09T14:50:15Z</dcterms:modified>
  <cp:revision>2</cp:revision>
  <dc:subject/>
  <dc:title/>
</cp:coreProperties>
</file>