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40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583"/>
        <w:gridCol w:w="4703"/>
        <w:gridCol w:w="5114"/>
      </w:tblGrid>
      <w:tr>
        <w:trPr>
          <w:trHeight w:val="537" w:hRule="atLeast"/>
        </w:trPr>
        <w:tc>
          <w:tcPr>
            <w:tcW w:w="158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color w:val="844D95"/>
                <w:sz w:val="24"/>
                <w:szCs w:val="24"/>
              </w:rPr>
              <w:t>MUCOGYNE</w:t>
            </w:r>
            <w:r>
              <w:rPr>
                <w:rFonts w:ascii="FreeSans" w:hAnsi="FreeSans"/>
                <w:b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sz w:val="16"/>
                <w:szCs w:val="16"/>
              </w:rPr>
              <w:br/>
            </w:r>
            <w:r>
              <w:rPr>
                <w:rFonts w:ascii="FreeSans" w:hAnsi="FreeSans"/>
                <w:b/>
                <w:bCs/>
                <w:i w:val="false"/>
                <w:iCs w:val="false"/>
                <w:sz w:val="12"/>
                <w:szCs w:val="12"/>
              </w:rPr>
              <w:t>OVULES INTIMES</w:t>
            </w:r>
            <w:r>
              <w:rPr>
                <w:rFonts w:ascii="FreeSans" w:hAnsi="FreeSans"/>
                <w:b w:val="false"/>
                <w:bCs w:val="false"/>
                <w:sz w:val="12"/>
                <w:szCs w:val="12"/>
              </w:rPr>
              <w:t xml:space="preserve"> NON HORMONAUX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color w:val="844D95"/>
                <w:sz w:val="24"/>
                <w:szCs w:val="24"/>
              </w:rPr>
              <w:t>MUCOGYNE</w:t>
            </w:r>
            <w:r>
              <w:rPr>
                <w:rFonts w:ascii="FreeSans" w:hAnsi="FreeSans"/>
                <w:sz w:val="16"/>
                <w:szCs w:val="16"/>
              </w:rPr>
              <w:br/>
            </w:r>
            <w:r>
              <w:rPr>
                <w:rFonts w:ascii="FreeSans" w:hAnsi="FreeSans"/>
                <w:b/>
                <w:bCs/>
                <w:sz w:val="12"/>
                <w:szCs w:val="12"/>
              </w:rPr>
              <w:t>GEL INTIME</w:t>
            </w:r>
            <w:r>
              <w:rPr>
                <w:rFonts w:ascii="FreeSans" w:hAnsi="FreeSans"/>
                <w:b w:val="false"/>
                <w:bCs w:val="false"/>
                <w:sz w:val="12"/>
                <w:szCs w:val="12"/>
              </w:rPr>
              <w:t xml:space="preserve"> NON HORMONAL</w:t>
            </w:r>
          </w:p>
        </w:tc>
      </w:tr>
      <w:tr>
        <w:trPr>
          <w:trHeight w:val="1114" w:hRule="atLeast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INDICATIONS</w:t>
            </w:r>
          </w:p>
        </w:tc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Pour restaurer la muqueuse vaginale chez toutes les femmes quel que soit leur âge, en cas de :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Sécheresse</w:t>
            </w:r>
            <w:r>
              <w:rPr>
                <w:rFonts w:ascii="FreeSans" w:hAnsi="FreeSans"/>
                <w:sz w:val="16"/>
                <w:szCs w:val="16"/>
              </w:rPr>
              <w:t xml:space="preserve"> vaginale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sévère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Diffi</w:t>
            </w:r>
            <w:r>
              <w:rPr>
                <w:rFonts w:ascii="FreeSans" w:hAnsi="FreeSans"/>
                <w:sz w:val="16"/>
                <w:szCs w:val="16"/>
              </w:rPr>
              <w:t>c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ultés de cicatrisation</w:t>
            </w:r>
            <w:r>
              <w:rPr>
                <w:rFonts w:ascii="FreeSans" w:hAnsi="FreeSans"/>
                <w:sz w:val="16"/>
                <w:szCs w:val="16"/>
              </w:rPr>
              <w:t xml:space="preserve"> avec lésions internes</w:t>
              <w:br/>
            </w:r>
            <w:r>
              <w:rPr>
                <w:rFonts w:ascii="FreeSans" w:hAnsi="FreeSans"/>
                <w:sz w:val="12"/>
                <w:szCs w:val="12"/>
              </w:rPr>
              <w:t>(post-partum, radiothérapie, chirurgie locale, …)</w:t>
            </w:r>
          </w:p>
        </w:tc>
        <w:tc>
          <w:tcPr>
            <w:tcW w:w="5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Pour restaurer la muqueuse vulvo-vaginale chez toutes les femmes quel que soit leur âge, en cas de :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Sécheresse</w:t>
            </w:r>
            <w:r>
              <w:rPr>
                <w:rFonts w:ascii="FreeSans" w:hAnsi="FreeSans"/>
                <w:sz w:val="16"/>
                <w:szCs w:val="16"/>
              </w:rPr>
              <w:t xml:space="preserve"> vulvo-vaginale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légère</w:t>
            </w:r>
            <w:r>
              <w:rPr>
                <w:rFonts w:ascii="FreeSans" w:hAnsi="FreeSans"/>
                <w:sz w:val="16"/>
                <w:szCs w:val="16"/>
              </w:rPr>
              <w:t xml:space="preserve"> à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modérée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Difficultés de cicatrisation</w:t>
            </w:r>
            <w:r>
              <w:rPr>
                <w:rFonts w:ascii="FreeSans" w:hAnsi="FreeSans"/>
                <w:sz w:val="16"/>
                <w:szCs w:val="16"/>
              </w:rPr>
              <w:t xml:space="preserve"> avec lésions externes </w:t>
              <w:br/>
            </w:r>
            <w:r>
              <w:rPr>
                <w:rFonts w:ascii="FreeSans" w:hAnsi="FreeSans"/>
                <w:sz w:val="12"/>
                <w:szCs w:val="12"/>
              </w:rPr>
              <w:t xml:space="preserve">(post-partum, épisiotomie, radiothérapie, chirurgie locale, ...)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•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Dyspareunie</w:t>
            </w:r>
            <w:r>
              <w:rPr>
                <w:rFonts w:ascii="FreeSans" w:hAnsi="FreeSans"/>
                <w:sz w:val="16"/>
                <w:szCs w:val="16"/>
              </w:rPr>
              <w:t xml:space="preserve"> et inconfort</w:t>
            </w:r>
          </w:p>
        </w:tc>
      </w:tr>
      <w:tr>
        <w:trPr>
          <w:trHeight w:val="577" w:hRule="atLeast"/>
        </w:trPr>
        <w:tc>
          <w:tcPr>
            <w:tcW w:w="1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 xml:space="preserve">PROPRIÉTÉS  </w:t>
            </w:r>
          </w:p>
        </w:tc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7"/>
                <w:szCs w:val="16"/>
                <w:u w:val="none"/>
                <w:em w:val="none"/>
              </w:rPr>
              <w:t xml:space="preserve">→ </w:t>
            </w:r>
            <w:r>
              <w:rPr>
                <w:rFonts w:ascii="FreeSans" w:hAnsi="FreeSans"/>
                <w:color w:val="844D95"/>
                <w:sz w:val="16"/>
                <w:szCs w:val="16"/>
              </w:rPr>
              <w:t>Hydrate</w:t>
            </w:r>
            <w:r>
              <w:rPr>
                <w:rFonts w:ascii="FreeSans" w:hAnsi="FreeSans"/>
                <w:sz w:val="16"/>
                <w:szCs w:val="16"/>
              </w:rPr>
              <w:br/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7"/>
                <w:szCs w:val="16"/>
                <w:u w:val="none"/>
                <w:em w:val="none"/>
              </w:rPr>
              <w:t xml:space="preserve">→ </w:t>
            </w:r>
            <w:r>
              <w:rPr>
                <w:rFonts w:ascii="FreeSans" w:hAnsi="FreeSans"/>
                <w:color w:val="844D95"/>
                <w:sz w:val="16"/>
                <w:szCs w:val="16"/>
              </w:rPr>
              <w:t>Cicatrise</w:t>
            </w:r>
          </w:p>
        </w:tc>
        <w:tc>
          <w:tcPr>
            <w:tcW w:w="5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7"/>
                <w:szCs w:val="16"/>
                <w:u w:val="none"/>
                <w:em w:val="none"/>
              </w:rPr>
              <w:t xml:space="preserve">→ </w:t>
            </w:r>
            <w:r>
              <w:rPr>
                <w:rFonts w:ascii="FreeSans" w:hAnsi="FreeSans"/>
                <w:color w:val="844D95"/>
                <w:sz w:val="16"/>
                <w:szCs w:val="16"/>
              </w:rPr>
              <w:t>Hydrate</w:t>
            </w:r>
            <w:r>
              <w:rPr>
                <w:rFonts w:ascii="FreeSans" w:hAnsi="FreeSans"/>
                <w:sz w:val="16"/>
                <w:szCs w:val="16"/>
              </w:rPr>
              <w:br/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7"/>
                <w:szCs w:val="16"/>
                <w:u w:val="none"/>
                <w:em w:val="none"/>
              </w:rPr>
              <w:t xml:space="preserve">→ </w:t>
            </w:r>
            <w:r>
              <w:rPr>
                <w:rFonts w:ascii="FreeSans" w:hAnsi="FreeSans"/>
                <w:color w:val="844D95"/>
                <w:sz w:val="16"/>
                <w:szCs w:val="16"/>
              </w:rPr>
              <w:t>Cicatrise</w:t>
            </w:r>
            <w:r>
              <w:rPr>
                <w:rFonts w:ascii="FreeSans" w:hAnsi="FreeSans"/>
                <w:sz w:val="16"/>
                <w:szCs w:val="16"/>
              </w:rPr>
              <w:br/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7"/>
                <w:szCs w:val="16"/>
                <w:u w:val="none"/>
                <w:em w:val="none"/>
              </w:rPr>
              <w:t xml:space="preserve">→ </w:t>
            </w:r>
            <w:r>
              <w:rPr>
                <w:rFonts w:ascii="FreeSans" w:hAnsi="FreeSans"/>
                <w:color w:val="844D95"/>
                <w:sz w:val="16"/>
                <w:szCs w:val="16"/>
              </w:rPr>
              <w:t>Lubrifie</w:t>
            </w:r>
          </w:p>
        </w:tc>
      </w:tr>
      <w:tr>
        <w:trPr>
          <w:trHeight w:val="398" w:hRule="atLeast"/>
        </w:trPr>
        <w:tc>
          <w:tcPr>
            <w:tcW w:w="1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 xml:space="preserve">FORMES et PRÉSENTATIONS  </w:t>
            </w:r>
          </w:p>
        </w:tc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7"/>
                <w:szCs w:val="16"/>
                <w:u w:val="none"/>
                <w:em w:val="none"/>
              </w:rPr>
              <w:t xml:space="preserve">Boite de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10 ovules vaginaux</w:t>
              <w:br/>
            </w: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7"/>
                <w:szCs w:val="16"/>
                <w:u w:val="none"/>
                <w:em w:val="none"/>
              </w:rPr>
              <w:t xml:space="preserve">→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7"/>
                <w:szCs w:val="16"/>
                <w:u w:val="none"/>
                <w:em w:val="none"/>
              </w:rPr>
              <w:t xml:space="preserve">PVC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 xml:space="preserve"> ~ 10,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00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 xml:space="preserve"> €</w:t>
            </w:r>
          </w:p>
        </w:tc>
        <w:tc>
          <w:tcPr>
            <w:tcW w:w="5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Tube</w:t>
            </w:r>
            <w:r>
              <w:rPr>
                <w:rFonts w:ascii="FreeSans" w:hAnsi="FreeSans"/>
                <w:sz w:val="16"/>
                <w:szCs w:val="16"/>
              </w:rPr>
              <w:t xml:space="preserve"> aluminium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40 ml</w:t>
            </w:r>
            <w:r>
              <w:rPr>
                <w:rFonts w:ascii="FreeSans" w:hAnsi="FreeSans"/>
                <w:sz w:val="16"/>
                <w:szCs w:val="16"/>
              </w:rPr>
              <w:t xml:space="preserve"> avec a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pplicateur doseur</w:t>
            </w:r>
            <w:r>
              <w:rPr>
                <w:rFonts w:ascii="FreeSans" w:hAnsi="FreeSans"/>
                <w:sz w:val="16"/>
                <w:szCs w:val="16"/>
              </w:rPr>
              <w:t xml:space="preserve"> 2,5 ml</w:t>
              <w:br/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7"/>
                <w:szCs w:val="16"/>
                <w:u w:val="none"/>
                <w:em w:val="none"/>
              </w:rPr>
              <w:t xml:space="preserve">→ 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7"/>
                <w:szCs w:val="16"/>
                <w:u w:val="none"/>
                <w:em w:val="none"/>
              </w:rPr>
              <w:t xml:space="preserve">PVC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~ 10,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00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 xml:space="preserve"> €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Arial" w:hAnsi="Arial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7"/>
                <w:szCs w:val="16"/>
                <w:u w:val="none"/>
                <w:em w:val="none"/>
              </w:rPr>
              <w:t xml:space="preserve">Boite de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8 unidoses de 5 m</w:t>
            </w:r>
            <w:r>
              <w:rPr>
                <w:rFonts w:ascii="FreeSans" w:hAnsi="FreeSans"/>
                <w:sz w:val="16"/>
                <w:szCs w:val="16"/>
              </w:rPr>
              <w:t>l</w:t>
              <w:br/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7"/>
                <w:szCs w:val="16"/>
                <w:u w:val="none"/>
                <w:em w:val="none"/>
              </w:rPr>
              <w:t xml:space="preserve">→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7"/>
                <w:szCs w:val="16"/>
                <w:u w:val="none"/>
                <w:em w:val="none"/>
              </w:rPr>
              <w:t xml:space="preserve">PVC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~ 17,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00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 xml:space="preserve"> €</w:t>
            </w:r>
          </w:p>
        </w:tc>
      </w:tr>
      <w:tr>
        <w:trPr>
          <w:trHeight w:val="1651" w:hRule="atLeast"/>
        </w:trPr>
        <w:tc>
          <w:tcPr>
            <w:tcW w:w="1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CONSEILS D’UTILISATION</w:t>
            </w:r>
          </w:p>
        </w:tc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  <w:tab w:val="left" w:pos="142" w:leader="none"/>
                <w:tab w:val="left" w:pos="178" w:leader="none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color w:val="844D95"/>
                <w:sz w:val="16"/>
                <w:szCs w:val="16"/>
              </w:rPr>
              <w:t>Sécheresse</w:t>
            </w:r>
            <w:r>
              <w:rPr>
                <w:rFonts w:ascii="FreeSans" w:hAnsi="FreeSans"/>
                <w:sz w:val="16"/>
                <w:szCs w:val="16"/>
              </w:rPr>
              <w:t xml:space="preserve"> vaginale </w:t>
            </w:r>
            <w:r>
              <w:rPr>
                <w:rFonts w:ascii="FreeSans" w:hAnsi="FreeSans"/>
                <w:b w:val="false"/>
                <w:bCs w:val="false"/>
                <w:color w:val="844D95"/>
                <w:sz w:val="16"/>
                <w:szCs w:val="16"/>
              </w:rPr>
              <w:t>sévère</w:t>
            </w:r>
            <w:r>
              <w:rPr>
                <w:rFonts w:ascii="FreeSans" w:hAnsi="FreeSans"/>
                <w:sz w:val="16"/>
                <w:szCs w:val="16"/>
              </w:rPr>
              <w:t xml:space="preserve"> : </w:t>
              <w:br/>
              <w:tab/>
              <w:t xml:space="preserve">•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 xml:space="preserve">1 ovule 2 fois /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sem</w:t>
            </w:r>
            <w:r>
              <w:rPr>
                <w:rFonts w:ascii="FreeSans" w:hAnsi="FreeSans"/>
                <w:sz w:val="16"/>
                <w:szCs w:val="16"/>
              </w:rPr>
              <w:t xml:space="preserve"> pendant 5 semaines </w:t>
            </w:r>
          </w:p>
          <w:p>
            <w:pPr>
              <w:pStyle w:val="Normal"/>
              <w:tabs>
                <w:tab w:val="clear" w:pos="709"/>
                <w:tab w:val="left" w:pos="142" w:leader="none"/>
                <w:tab w:val="left" w:pos="178" w:leader="none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color w:val="844D95"/>
                <w:sz w:val="16"/>
                <w:szCs w:val="16"/>
              </w:rPr>
              <w:t>Difficultés de cicatrisation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sz w:val="16"/>
                <w:szCs w:val="16"/>
              </w:rPr>
              <w:t xml:space="preserve">avec lésions internes : </w:t>
              <w:br/>
              <w:tab/>
              <w:t xml:space="preserve">•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 xml:space="preserve">1 ovule /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j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sz w:val="16"/>
                <w:szCs w:val="16"/>
              </w:rPr>
              <w:t>pdt</w:t>
            </w:r>
            <w:r>
              <w:rPr>
                <w:rFonts w:ascii="FreeSans" w:hAnsi="FreeSans"/>
                <w:sz w:val="16"/>
                <w:szCs w:val="16"/>
              </w:rPr>
              <w:t xml:space="preserve"> 10 </w:t>
            </w:r>
            <w:r>
              <w:rPr>
                <w:rFonts w:ascii="FreeSans" w:hAnsi="FreeSans"/>
                <w:sz w:val="16"/>
                <w:szCs w:val="16"/>
              </w:rPr>
              <w:t>j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Usage interne</w:t>
              <w:br/>
              <w:br/>
              <w:br/>
            </w:r>
          </w:p>
        </w:tc>
        <w:tc>
          <w:tcPr>
            <w:tcW w:w="5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color w:val="844D95"/>
                <w:sz w:val="16"/>
                <w:szCs w:val="16"/>
              </w:rPr>
              <w:t>Sécheresse</w:t>
            </w:r>
            <w:r>
              <w:rPr>
                <w:rFonts w:ascii="FreeSans" w:hAnsi="FreeSans"/>
                <w:sz w:val="16"/>
                <w:szCs w:val="16"/>
              </w:rPr>
              <w:t xml:space="preserve"> : </w:t>
              <w:br/>
              <w:t xml:space="preserve">• vulvaire :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 xml:space="preserve">1 à 2 fois / j </w:t>
            </w:r>
            <w:r>
              <w:rPr>
                <w:rFonts w:ascii="FreeSans" w:hAnsi="FreeSans"/>
                <w:sz w:val="16"/>
                <w:szCs w:val="16"/>
              </w:rPr>
              <w:t xml:space="preserve">en massage externe </w:t>
              <w:br/>
              <w:t xml:space="preserve">• vaginale </w:t>
            </w:r>
            <w:r>
              <w:rPr>
                <w:rFonts w:ascii="FreeSans" w:hAnsi="FreeSans"/>
                <w:b w:val="false"/>
                <w:bCs w:val="false"/>
                <w:color w:val="844D95"/>
                <w:sz w:val="16"/>
                <w:szCs w:val="16"/>
              </w:rPr>
              <w:t>légère</w:t>
            </w:r>
            <w:r>
              <w:rPr>
                <w:rFonts w:ascii="FreeSans" w:hAnsi="FreeSans"/>
                <w:sz w:val="16"/>
                <w:szCs w:val="16"/>
              </w:rPr>
              <w:t xml:space="preserve"> à </w:t>
            </w:r>
            <w:r>
              <w:rPr>
                <w:rFonts w:ascii="FreeSans" w:hAnsi="FreeSans"/>
                <w:b w:val="false"/>
                <w:bCs w:val="false"/>
                <w:color w:val="844D95"/>
                <w:sz w:val="16"/>
                <w:szCs w:val="16"/>
              </w:rPr>
              <w:t>modérée</w:t>
            </w:r>
            <w:r>
              <w:rPr>
                <w:rFonts w:ascii="FreeSans" w:hAnsi="FreeSans"/>
                <w:sz w:val="16"/>
                <w:szCs w:val="16"/>
              </w:rPr>
              <w:t xml:space="preserve"> :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 xml:space="preserve">2 à 3 fois /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sem</w:t>
            </w:r>
            <w:r>
              <w:rPr>
                <w:rFonts w:ascii="FreeSans" w:hAnsi="FreeSans"/>
                <w:sz w:val="16"/>
                <w:szCs w:val="16"/>
              </w:rPr>
              <w:t xml:space="preserve"> en massage externe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color w:val="844D95"/>
                <w:sz w:val="16"/>
                <w:szCs w:val="16"/>
              </w:rPr>
              <w:t>Lésions externe</w:t>
            </w:r>
            <w:r>
              <w:rPr>
                <w:rFonts w:ascii="FreeSans" w:hAnsi="FreeSans"/>
                <w:sz w:val="16"/>
                <w:szCs w:val="16"/>
              </w:rPr>
              <w:t xml:space="preserve"> avec difficultés de cicatrisation : </w:t>
              <w:br/>
              <w:t xml:space="preserve">•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 xml:space="preserve">1 à 2 fois /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j</w:t>
            </w:r>
            <w:r>
              <w:rPr>
                <w:rFonts w:ascii="FreeSans" w:hAnsi="FreeSans"/>
                <w:sz w:val="16"/>
                <w:szCs w:val="16"/>
              </w:rPr>
              <w:t xml:space="preserve"> en massage externe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Trouble de la </w:t>
            </w:r>
            <w:r>
              <w:rPr>
                <w:rFonts w:ascii="FreeSans" w:hAnsi="FreeSans"/>
                <w:b w:val="false"/>
                <w:bCs w:val="false"/>
                <w:color w:val="844D95"/>
                <w:sz w:val="16"/>
                <w:szCs w:val="16"/>
              </w:rPr>
              <w:t>lubrification</w:t>
            </w:r>
            <w:r>
              <w:rPr>
                <w:rFonts w:ascii="FreeSans" w:hAnsi="FreeSans"/>
                <w:sz w:val="16"/>
                <w:szCs w:val="16"/>
              </w:rPr>
              <w:t xml:space="preserve">: </w:t>
              <w:br/>
              <w:t xml:space="preserve">• en fonction des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besoins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  <w:br/>
            </w:r>
            <w:r>
              <w:rPr>
                <w:rFonts w:ascii="FreeSans" w:hAnsi="FreeSans"/>
                <w:sz w:val="14"/>
                <w:szCs w:val="14"/>
              </w:rPr>
              <w:t>(compatible avec les préservatifs</w:t>
            </w:r>
            <w:r>
              <w:rPr>
                <w:rFonts w:ascii="FreeSans" w:hAnsi="FreeSans"/>
                <w:sz w:val="16"/>
                <w:szCs w:val="16"/>
              </w:rPr>
              <w:t xml:space="preserve">)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Usages interne &amp; externe</w:t>
            </w:r>
          </w:p>
        </w:tc>
      </w:tr>
      <w:tr>
        <w:trPr>
          <w:trHeight w:val="1273" w:hRule="atLeast"/>
        </w:trPr>
        <w:tc>
          <w:tcPr>
            <w:tcW w:w="1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sz w:val="16"/>
                <w:szCs w:val="16"/>
              </w:rPr>
              <w:t>COMPOSITION</w:t>
            </w:r>
          </w:p>
        </w:tc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 xml:space="preserve">- 0,2% ACIDE HYALURONIQUE </w:t>
            </w:r>
            <w:r>
              <w:rPr>
                <w:rFonts w:ascii="FreeSans" w:hAnsi="FreeSans"/>
                <w:sz w:val="16"/>
                <w:szCs w:val="16"/>
              </w:rPr>
              <w:t>de</w:t>
            </w:r>
            <w:r>
              <w:rPr>
                <w:rFonts w:ascii="FreeSans" w:hAnsi="FreeSans"/>
                <w:sz w:val="16"/>
                <w:szCs w:val="16"/>
              </w:rPr>
              <w:t xml:space="preserve"> moyen poids moléculaire</w:t>
            </w:r>
          </w:p>
          <w:p>
            <w:pPr>
              <w:pStyle w:val="Normal"/>
              <w:tabs>
                <w:tab w:val="clear" w:pos="709"/>
                <w:tab w:val="left" w:pos="142" w:leader="none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- G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ALACTO-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O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>LIGO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S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ACCHARIDES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α 1- 6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>(</w:t>
            </w:r>
            <w:r>
              <w:rPr>
                <w:rFonts w:ascii="FreeSans" w:hAnsi="FreeSans"/>
                <w:b/>
                <w:bCs/>
                <w:color w:val="844D95"/>
                <w:sz w:val="14"/>
                <w:szCs w:val="14"/>
              </w:rPr>
              <w:t>P</w:t>
            </w:r>
            <w:r>
              <w:rPr>
                <w:rFonts w:ascii="FreeSans" w:hAnsi="FreeSans"/>
                <w:b/>
                <w:bCs/>
                <w:color w:val="844D95"/>
                <w:sz w:val="14"/>
                <w:szCs w:val="14"/>
              </w:rPr>
              <w:t>RÉBIOTIQUE</w:t>
            </w:r>
            <w:r>
              <w:rPr>
                <w:rFonts w:ascii="FreeSans" w:hAnsi="FreeSans"/>
                <w:b w:val="false"/>
                <w:bCs w:val="false"/>
                <w:color w:val="auto"/>
                <w:sz w:val="14"/>
                <w:szCs w:val="14"/>
              </w:rPr>
              <w:t>)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br/>
              <w:tab/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• Très bonne capacité de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métabolisation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du GOS α 1-6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par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les souches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L. crispatus</w:t>
            </w:r>
            <w:r>
              <w:rPr>
                <w:rFonts w:ascii="FreeSans" w:hAnsi="FreeSans"/>
                <w:b w:val="false"/>
                <w:bCs w:val="false"/>
                <w:color w:val="844D95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et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L. gasseri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</w:t>
              <w:br/>
            </w:r>
            <w:r>
              <w:rPr>
                <w:rFonts w:ascii="FreeSans" w:hAnsi="FreeSans"/>
                <w:b w:val="false"/>
                <w:bCs w:val="false"/>
                <w:color w:val="auto"/>
                <w:sz w:val="12"/>
                <w:szCs w:val="16"/>
              </w:rPr>
              <w:t>(moins bonne capacité de métabolisation pour le L. rhamnosus)</w:t>
              <w:br/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ab/>
              <w:t xml:space="preserve">• Le GOS α 1-6 de l’ovule permet la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croissance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d’espèces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caractéristiques</w:t>
            </w:r>
            <w:r>
              <w:rPr>
                <w:rFonts w:ascii="FreeSans" w:hAnsi="FreeSans"/>
                <w:b w:val="false"/>
                <w:bCs w:val="false"/>
                <w:color w:val="auto"/>
                <w:sz w:val="16"/>
                <w:szCs w:val="16"/>
              </w:rPr>
              <w:t xml:space="preserve"> d’une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flore vaginale saine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Formulés </w:t>
            </w:r>
            <w:r>
              <w:rPr>
                <w:rFonts w:ascii="FreeSans" w:hAnsi="FreeSans"/>
                <w:color w:val="844D95"/>
                <w:sz w:val="16"/>
                <w:szCs w:val="16"/>
              </w:rPr>
              <w:t>SANS HORMONE</w:t>
            </w:r>
            <w:r>
              <w:rPr>
                <w:rFonts w:ascii="FreeSans" w:hAnsi="FreeSans"/>
                <w:sz w:val="16"/>
                <w:szCs w:val="16"/>
              </w:rPr>
              <w:t>, ne coule pas &amp; ne tache pas</w:t>
            </w:r>
          </w:p>
        </w:tc>
        <w:tc>
          <w:tcPr>
            <w:tcW w:w="5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142" w:leader="none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- 0,1% ACIDE HYALURONIQUE</w:t>
            </w:r>
            <w:r>
              <w:rPr>
                <w:rFonts w:ascii="FreeSans" w:hAnsi="FreeSans"/>
                <w:sz w:val="16"/>
                <w:szCs w:val="16"/>
              </w:rPr>
              <w:t xml:space="preserve"> de haut poids moléculaire </w:t>
              <w:br/>
              <w:tab/>
              <w:t>• Sous forme liposomée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 xml:space="preserve">Formulé </w:t>
            </w:r>
            <w:r>
              <w:rPr>
                <w:rFonts w:ascii="FreeSans" w:hAnsi="FreeSans"/>
                <w:color w:val="844D95"/>
                <w:sz w:val="16"/>
                <w:szCs w:val="16"/>
              </w:rPr>
              <w:t>SANS COLORANT</w:t>
            </w:r>
            <w:r>
              <w:rPr>
                <w:rFonts w:ascii="FreeSans" w:hAnsi="FreeSans"/>
                <w:sz w:val="16"/>
                <w:szCs w:val="16"/>
              </w:rPr>
              <w:t xml:space="preserve">, </w:t>
            </w:r>
            <w:r>
              <w:rPr>
                <w:rFonts w:ascii="FreeSans" w:hAnsi="FreeSans"/>
                <w:color w:val="844D95"/>
                <w:sz w:val="16"/>
                <w:szCs w:val="16"/>
              </w:rPr>
              <w:t>SANS PARABÈNE</w:t>
            </w:r>
            <w:r>
              <w:rPr>
                <w:rFonts w:ascii="FreeSans" w:hAnsi="FreeSans"/>
                <w:sz w:val="16"/>
                <w:szCs w:val="16"/>
              </w:rPr>
              <w:t xml:space="preserve">, </w:t>
            </w:r>
            <w:r>
              <w:rPr>
                <w:rFonts w:ascii="FreeSans" w:hAnsi="FreeSans"/>
                <w:color w:val="844D95"/>
                <w:sz w:val="16"/>
                <w:szCs w:val="16"/>
              </w:rPr>
              <w:t>SANS PARFUM</w:t>
            </w:r>
            <w:r>
              <w:rPr>
                <w:rFonts w:ascii="FreeSans" w:hAnsi="FreeSans"/>
                <w:sz w:val="16"/>
                <w:szCs w:val="16"/>
              </w:rPr>
              <w:t xml:space="preserve"> et </w:t>
            </w:r>
            <w:r>
              <w:rPr>
                <w:rFonts w:ascii="FreeSans" w:hAnsi="FreeSans"/>
                <w:color w:val="844D95"/>
                <w:sz w:val="16"/>
                <w:szCs w:val="16"/>
              </w:rPr>
              <w:t>SANS ALCOOL</w:t>
            </w:r>
          </w:p>
        </w:tc>
      </w:tr>
      <w:tr>
        <w:trPr>
          <w:trHeight w:val="2288" w:hRule="atLeast"/>
        </w:trPr>
        <w:tc>
          <w:tcPr>
            <w:tcW w:w="158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</w:r>
          </w:p>
        </w:tc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center"/>
              <w:rPr>
                <w:rFonts w:ascii="FreeSans" w:hAnsi="FreeSan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color w:val="844D95"/>
                <w:sz w:val="20"/>
                <w:szCs w:val="20"/>
              </w:rPr>
              <w:t>I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</w:rPr>
              <w:t xml:space="preserve">ndex de </w:t>
            </w:r>
            <w:r>
              <w:rPr>
                <w:rFonts w:ascii="FreeSans" w:hAnsi="FreeSans"/>
                <w:b/>
                <w:bCs/>
                <w:color w:val="844D95"/>
                <w:sz w:val="20"/>
                <w:szCs w:val="20"/>
              </w:rPr>
              <w:t>S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</w:rPr>
              <w:t xml:space="preserve">anté </w:t>
            </w:r>
            <w:r>
              <w:rPr>
                <w:rFonts w:ascii="FreeSans" w:hAnsi="FreeSans"/>
                <w:b/>
                <w:bCs/>
                <w:color w:val="844D95"/>
                <w:sz w:val="20"/>
                <w:szCs w:val="20"/>
              </w:rPr>
              <w:t>V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</w:rPr>
              <w:t>aginale (</w:t>
            </w:r>
            <w:r>
              <w:rPr>
                <w:rFonts w:ascii="FreeSans" w:hAnsi="FreeSans"/>
                <w:b/>
                <w:bCs/>
                <w:color w:val="844D95"/>
                <w:sz w:val="20"/>
                <w:szCs w:val="20"/>
              </w:rPr>
              <w:t>ISV</w:t>
            </w:r>
            <w:r>
              <w:rPr>
                <w:rFonts w:ascii="FreeSans" w:hAnsi="FreeSans"/>
                <w:b w:val="false"/>
                <w:bCs w:val="false"/>
                <w:sz w:val="20"/>
                <w:szCs w:val="20"/>
              </w:rPr>
              <w:t>)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>Évaluation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de la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santé vaginale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basée sur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5 critères cliniques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:</w:t>
              <w:br/>
              <w:t xml:space="preserve">•  </w:t>
            </w:r>
            <w:r>
              <w:rPr>
                <w:rFonts w:ascii="FreeSans" w:hAnsi="FreeSans"/>
                <w:b w:val="false"/>
                <w:bCs w:val="false"/>
                <w:color w:val="844D95"/>
                <w:sz w:val="16"/>
                <w:szCs w:val="16"/>
              </w:rPr>
              <w:t>Hydratation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de la muqueuse </w:t>
              <w:br/>
              <w:t xml:space="preserve">•  Volume des </w:t>
            </w:r>
            <w:r>
              <w:rPr>
                <w:rFonts w:ascii="FreeSans" w:hAnsi="FreeSans"/>
                <w:b w:val="false"/>
                <w:bCs w:val="false"/>
                <w:color w:val="844D95"/>
                <w:sz w:val="16"/>
                <w:szCs w:val="16"/>
              </w:rPr>
              <w:t>sécrétions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</w:t>
              <w:br/>
              <w:t xml:space="preserve">•  </w:t>
            </w:r>
            <w:r>
              <w:rPr>
                <w:rFonts w:ascii="FreeSans" w:hAnsi="FreeSans"/>
                <w:b w:val="false"/>
                <w:bCs w:val="false"/>
                <w:color w:val="844D95"/>
                <w:sz w:val="16"/>
                <w:szCs w:val="16"/>
              </w:rPr>
              <w:t>Élasticité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de la muqueuse </w:t>
              <w:br/>
              <w:t xml:space="preserve">•  </w:t>
            </w:r>
            <w:r>
              <w:rPr>
                <w:rFonts w:ascii="FreeSans" w:hAnsi="FreeSans"/>
                <w:b w:val="false"/>
                <w:bCs w:val="false"/>
                <w:color w:val="844D95"/>
                <w:sz w:val="16"/>
                <w:szCs w:val="16"/>
              </w:rPr>
              <w:t>Aspect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de l’épithélium </w:t>
              <w:br/>
              <w:t xml:space="preserve">• 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Valeur du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 w:val="false"/>
                <w:bCs w:val="false"/>
                <w:color w:val="844D95"/>
                <w:sz w:val="16"/>
                <w:szCs w:val="16"/>
              </w:rPr>
              <w:t>pH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vaginal </w:t>
            </w:r>
          </w:p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Évaluation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en partie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subjective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car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 xml:space="preserve"> visuelle 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(m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édecin dépendant</w:t>
            </w:r>
            <w:r>
              <w:rPr>
                <w:rFonts w:ascii="FreeSans" w:hAnsi="FreeSans"/>
                <w:b w:val="false"/>
                <w:bCs w:val="false"/>
                <w:sz w:val="16"/>
                <w:szCs w:val="16"/>
              </w:rPr>
              <w:t>)</w:t>
            </w:r>
          </w:p>
        </w:tc>
        <w:tc>
          <w:tcPr>
            <w:tcW w:w="5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Étude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 xml:space="preserve">d’ éfficacité </w:t>
            </w:r>
            <w:r>
              <w:rPr>
                <w:rFonts w:ascii="FreeSans" w:hAnsi="FreeSans"/>
                <w:sz w:val="16"/>
                <w:szCs w:val="16"/>
              </w:rPr>
              <w:t xml:space="preserve">sur la </w:t>
            </w:r>
            <w:r>
              <w:rPr>
                <w:rFonts w:ascii="FreeSans" w:hAnsi="FreeSans"/>
                <w:color w:val="844D95"/>
                <w:sz w:val="16"/>
                <w:szCs w:val="16"/>
              </w:rPr>
              <w:t xml:space="preserve">sécheresse vulvo-vaginale </w:t>
            </w:r>
            <w:r>
              <w:rPr>
                <w:rFonts w:ascii="FreeSans" w:hAnsi="FreeSans"/>
                <w:sz w:val="16"/>
                <w:szCs w:val="16"/>
              </w:rPr>
              <w:t xml:space="preserve">et la </w:t>
            </w:r>
            <w:r>
              <w:rPr>
                <w:rFonts w:ascii="FreeSans" w:hAnsi="FreeSans"/>
                <w:color w:val="844D95"/>
                <w:sz w:val="16"/>
                <w:szCs w:val="16"/>
              </w:rPr>
              <w:t>dyspareunie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sz w:val="14"/>
                <w:szCs w:val="14"/>
                <w:u w:val="none"/>
                <w:em w:val="none"/>
              </w:rPr>
              <w:t xml:space="preserve">→ </w:t>
            </w:r>
            <w:r>
              <w:rPr>
                <w:rFonts w:ascii="FreeSans" w:hAnsi="FreeSans"/>
                <w:sz w:val="14"/>
                <w:szCs w:val="14"/>
              </w:rPr>
              <w:t>indexée et publiée dans la revue « Gynécologie Obstétrique Fertilité »</w:t>
            </w:r>
          </w:p>
          <w:p>
            <w:pPr>
              <w:pStyle w:val="Normal"/>
              <w:tabs>
                <w:tab w:val="clear" w:pos="709"/>
                <w:tab w:val="left" w:pos="142" w:leader="none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Diminution</w:t>
            </w:r>
            <w:r>
              <w:rPr>
                <w:rFonts w:ascii="FreeSans" w:hAnsi="FreeSans"/>
                <w:sz w:val="16"/>
                <w:szCs w:val="16"/>
              </w:rPr>
              <w:t xml:space="preserve"> significative de la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sécheresse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vulvo-vaginale</w:t>
            </w:r>
            <w:r>
              <w:rPr>
                <w:rFonts w:ascii="FreeSans" w:hAnsi="FreeSans"/>
                <w:sz w:val="16"/>
                <w:szCs w:val="16"/>
              </w:rPr>
              <w:t xml:space="preserve"> : </w:t>
              <w:br/>
              <w:tab/>
              <w:t xml:space="preserve">    À 1 mois : - 25% </w:t>
              <w:br/>
              <w:tab/>
              <w:t xml:space="preserve">    À 2 mois : - 55% </w:t>
              <w:br/>
              <w:tab/>
              <w:t xml:space="preserve">    À 3 mois : - 86%</w:t>
            </w:r>
          </w:p>
          <w:p>
            <w:pPr>
              <w:pStyle w:val="Normal"/>
              <w:tabs>
                <w:tab w:val="clear" w:pos="709"/>
                <w:tab w:val="left" w:pos="142" w:leader="none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Diminution</w:t>
            </w:r>
            <w:r>
              <w:rPr>
                <w:rFonts w:ascii="FreeSans" w:hAnsi="FreeSans"/>
                <w:sz w:val="16"/>
                <w:szCs w:val="16"/>
              </w:rPr>
              <w:t xml:space="preserve"> significative des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douleurs</w:t>
            </w:r>
            <w:r>
              <w:rPr>
                <w:rFonts w:ascii="FreeSans" w:hAnsi="FreeSans"/>
                <w:sz w:val="16"/>
                <w:szCs w:val="16"/>
              </w:rPr>
              <w:t xml:space="preserve"> et/ou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dyspareunies</w:t>
            </w:r>
            <w:r>
              <w:rPr>
                <w:rFonts w:ascii="FreeSans" w:hAnsi="FreeSans"/>
                <w:sz w:val="16"/>
                <w:szCs w:val="16"/>
              </w:rPr>
              <w:t xml:space="preserve"> :</w:t>
              <w:br/>
              <w:tab/>
            </w:r>
            <w:r>
              <w:rPr>
                <w:rFonts w:ascii="FreeSans" w:hAnsi="FreeSans"/>
                <w:sz w:val="16"/>
                <w:szCs w:val="16"/>
              </w:rPr>
              <w:t>Dès</w:t>
            </w:r>
            <w:r>
              <w:rPr>
                <w:rFonts w:ascii="FreeSans" w:hAnsi="FreeSans"/>
                <w:sz w:val="16"/>
                <w:szCs w:val="16"/>
              </w:rPr>
              <w:t xml:space="preserve"> 1 mois : - 45% </w:t>
              <w:br/>
              <w:tab/>
              <w:t xml:space="preserve">    À 2 mois : - 63% </w:t>
              <w:br/>
              <w:tab/>
              <w:t xml:space="preserve">    À 3 mois : - 79%</w:t>
            </w:r>
          </w:p>
          <w:p>
            <w:pPr>
              <w:pStyle w:val="Normal"/>
              <w:tabs>
                <w:tab w:val="clear" w:pos="709"/>
                <w:tab w:val="left" w:pos="142" w:leader="none"/>
              </w:tabs>
              <w:bidi w:val="0"/>
              <w:spacing w:before="0" w:after="57"/>
              <w:jc w:val="left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Augmentation</w:t>
            </w:r>
            <w:r>
              <w:rPr>
                <w:rFonts w:ascii="FreeSans" w:hAnsi="FreeSans"/>
                <w:sz w:val="16"/>
                <w:szCs w:val="16"/>
              </w:rPr>
              <w:t xml:space="preserve"> significative de 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l’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color w:val="auto"/>
                <w:sz w:val="16"/>
                <w:szCs w:val="16"/>
              </w:rPr>
              <w:t>I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ndex</w:t>
            </w:r>
            <w:r>
              <w:rPr>
                <w:rFonts w:ascii="FreeSans" w:hAnsi="FreeSans"/>
                <w:sz w:val="16"/>
                <w:szCs w:val="16"/>
              </w:rPr>
              <w:t xml:space="preserve"> de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S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anté</w:t>
            </w:r>
            <w:r>
              <w:rPr>
                <w:rFonts w:ascii="FreeSans" w:hAnsi="FreeSans"/>
                <w:sz w:val="16"/>
                <w:szCs w:val="16"/>
              </w:rPr>
              <w:t xml:space="preserve"> </w:t>
            </w:r>
            <w:r>
              <w:rPr>
                <w:rFonts w:ascii="FreeSans" w:hAnsi="FreeSans"/>
                <w:b/>
                <w:bCs/>
                <w:sz w:val="16"/>
                <w:szCs w:val="16"/>
              </w:rPr>
              <w:t>V</w:t>
            </w:r>
            <w:r>
              <w:rPr>
                <w:rFonts w:ascii="FreeSans" w:hAnsi="FreeSans"/>
                <w:b/>
                <w:bCs/>
                <w:color w:val="844D95"/>
                <w:sz w:val="16"/>
                <w:szCs w:val="16"/>
              </w:rPr>
              <w:t>aginale</w:t>
            </w:r>
            <w:r>
              <w:rPr>
                <w:rFonts w:ascii="FreeSans" w:hAnsi="FreeSans"/>
                <w:sz w:val="16"/>
                <w:szCs w:val="16"/>
              </w:rPr>
              <w:t xml:space="preserve"> : </w:t>
              <w:br/>
              <w:tab/>
              <w:t xml:space="preserve">Dès 1 mois : + 30% </w:t>
              <w:br/>
              <w:tab/>
              <w:t xml:space="preserve">    À 2 mois : + 53% </w:t>
              <w:br/>
              <w:tab/>
              <w:t xml:space="preserve">    À 3 mois : + 72%</w:t>
            </w:r>
          </w:p>
        </w:tc>
      </w:tr>
    </w:tbl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468</Words>
  <Characters>2222</Characters>
  <CharactersWithSpaces>2741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2023-07-09T14:50:27Z</dcterms:created>
  <dc:creator/>
  <dc:description/>
  <dc:language>fr-FR</dc:language>
  <cp:lastModifiedBy/>
  <dcterms:modified xsi:type="dcterms:W3CDTF">2023-07-09T16:20:14Z</dcterms:modified>
  <cp:revision>1</cp:revision>
  <dc:subject/>
  <dc:title/>
</cp:coreProperties>
</file>