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14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9525"/>
      </w:tblGrid>
      <w:tr>
        <w:trPr>
          <w:trHeight w:val="171" w:hRule="atLeast"/>
        </w:trPr>
        <w:tc>
          <w:tcPr>
            <w:tcW w:w="1144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center"/>
              <w:rPr>
                <w:sz w:val="24"/>
                <w:szCs w:val="24"/>
              </w:rPr>
            </w:pPr>
            <w:r>
              <w:rPr>
                <w:rFonts w:ascii="FreeSans" w:hAnsi="FreeSans"/>
                <w:b/>
                <w:color w:val="7D4D73"/>
                <w:sz w:val="24"/>
                <w:szCs w:val="24"/>
              </w:rPr>
              <w:t>CIRCADIN</w:t>
            </w:r>
            <w:r>
              <w:rPr>
                <w:rFonts w:ascii="FreeSans" w:hAnsi="FreeSans"/>
                <w:b/>
                <w:sz w:val="24"/>
                <w:szCs w:val="24"/>
              </w:rPr>
              <w:t xml:space="preserve"> </w:t>
            </w:r>
            <w:r>
              <w:rPr>
                <w:rFonts w:ascii="FreeSans" w:hAnsi="FreeSans"/>
                <w:b/>
                <w:color w:val="E65D12"/>
                <w:sz w:val="24"/>
                <w:szCs w:val="24"/>
              </w:rPr>
              <w:t>2MG</w:t>
            </w:r>
          </w:p>
        </w:tc>
      </w:tr>
      <w:tr>
        <w:trPr>
          <w:trHeight w:val="191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COMPOSITION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MÉLATONINE</w:t>
            </w:r>
            <w:r>
              <w:rPr>
                <w:rFonts w:ascii="FreeSans" w:hAnsi="FreeSans"/>
                <w:sz w:val="16"/>
                <w:szCs w:val="16"/>
              </w:rPr>
              <w:t xml:space="preserve"> à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LIBÉRATION</w:t>
            </w:r>
            <w:r>
              <w:rPr>
                <w:rFonts w:ascii="FreeSans" w:hAnsi="FreeSans"/>
                <w:color w:val="E65D12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PROLONGÉE</w:t>
            </w:r>
            <w:r>
              <w:rPr>
                <w:rFonts w:ascii="FreeSans" w:hAnsi="FreeSans"/>
                <w:sz w:val="16"/>
                <w:szCs w:val="16"/>
              </w:rPr>
              <w:t xml:space="preserve"> 2 mg</w:t>
            </w:r>
          </w:p>
        </w:tc>
      </w:tr>
      <w:tr>
        <w:trPr>
          <w:trHeight w:val="339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MODE D’ACTION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Agit sur des récepteurs couplés aux protéines G 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83" w:leader="none"/>
                <w:tab w:val="left" w:pos="300" w:leader="none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ab/>
              <w:t xml:space="preserve">MT1, MT2 (et MT3) situés dans le cerveau </w:t>
              <w:br/>
              <w:tab/>
              <w:t xml:space="preserve">➔ Effet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hypnotique</w:t>
            </w:r>
            <w:r>
              <w:rPr>
                <w:rFonts w:ascii="FreeSans" w:hAnsi="FreeSans"/>
                <w:sz w:val="16"/>
                <w:szCs w:val="16"/>
              </w:rPr>
              <w:t xml:space="preserve"> et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chronobiotique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83" w:leader="none"/>
                <w:tab w:val="left" w:pos="300" w:leader="none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ab/>
              <w:t xml:space="preserve">MT1, MT2 situés dans les vaisseaux </w:t>
              <w:br/>
              <w:tab/>
              <w:t xml:space="preserve">➔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Régulation</w:t>
            </w:r>
            <w:r>
              <w:rPr>
                <w:rFonts w:ascii="FreeSans" w:hAnsi="FreeSans"/>
                <w:sz w:val="16"/>
                <w:szCs w:val="16"/>
              </w:rPr>
              <w:t xml:space="preserve"> de la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température corporelle</w:t>
            </w:r>
            <w:r>
              <w:rPr>
                <w:rFonts w:ascii="FreeSans" w:hAnsi="FreeSans"/>
                <w:sz w:val="16"/>
                <w:szCs w:val="16"/>
              </w:rPr>
              <w:t xml:space="preserve"> et de la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pression sanguine</w:t>
            </w:r>
          </w:p>
        </w:tc>
      </w:tr>
      <w:tr>
        <w:trPr>
          <w:trHeight w:val="116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INDICATION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En monothérapie, pour le traitement à court terme de l'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insomnie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t xml:space="preserve">primaire caractérisée par un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sommeil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de mauvaise qualité</w:t>
            </w:r>
            <w:r>
              <w:rPr>
                <w:rFonts w:ascii="FreeSans" w:hAnsi="FreeSans"/>
                <w:sz w:val="16"/>
                <w:szCs w:val="16"/>
              </w:rPr>
              <w:t xml:space="preserve"> chez des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patients de 55 ans ou plus</w:t>
            </w:r>
            <w:r>
              <w:rPr>
                <w:rFonts w:ascii="FreeSans" w:hAnsi="FreeSans"/>
                <w:sz w:val="16"/>
                <w:szCs w:val="16"/>
              </w:rPr>
              <w:t>.</w:t>
            </w:r>
          </w:p>
        </w:tc>
      </w:tr>
      <w:tr>
        <w:trPr>
          <w:trHeight w:val="1136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POSOLOGIE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1 cp de 2 mg / j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1 à 2 h après le repas et avant le coucher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Effets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positifs</w:t>
            </w:r>
            <w:r>
              <w:rPr>
                <w:rFonts w:ascii="FreeSans" w:hAnsi="FreeSans"/>
                <w:sz w:val="16"/>
                <w:szCs w:val="16"/>
              </w:rPr>
              <w:t xml:space="preserve"> dès les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premières nuits</w:t>
            </w:r>
            <w:r>
              <w:rPr>
                <w:rFonts w:ascii="FreeSans" w:hAnsi="FreeSans"/>
                <w:sz w:val="16"/>
                <w:szCs w:val="16"/>
              </w:rPr>
              <w:br/>
              <w:t>Effet maximum peut être ressenti après quelques nuits</w:t>
              <w:br/>
              <w:t>Finir la première boite avant d’évaluer l’efficacité !</w:t>
            </w:r>
          </w:p>
        </w:tc>
      </w:tr>
      <w:tr>
        <w:trPr>
          <w:trHeight w:val="400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PRÉSENTATION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EF8A14"/>
                <w:sz w:val="22"/>
                <w:szCs w:val="22"/>
                <w:u w:val="none"/>
                <w:em w:val="none"/>
              </w:rPr>
              <w:t></w:t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Boîte de </w:t>
            </w:r>
            <w:r>
              <w:rPr>
                <w:rFonts w:ascii="FreeSans" w:hAnsi="FreeSans"/>
                <w:b/>
                <w:bCs/>
                <w:color w:val="EF8A14"/>
                <w:sz w:val="16"/>
                <w:szCs w:val="16"/>
              </w:rPr>
              <w:t>30 gélules</w:t>
            </w:r>
          </w:p>
        </w:tc>
      </w:tr>
      <w:tr>
        <w:trPr>
          <w:trHeight w:val="400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PRIX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8368AB"/>
                <w:sz w:val="22"/>
                <w:szCs w:val="22"/>
                <w:u w:val="none"/>
                <w:em w:val="none"/>
              </w:rPr>
              <w:t></w:t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8368AB"/>
                <w:sz w:val="16"/>
                <w:szCs w:val="16"/>
              </w:rPr>
              <w:t>27,90 €</w:t>
            </w:r>
          </w:p>
        </w:tc>
      </w:tr>
      <w:tr>
        <w:trPr>
          <w:trHeight w:val="400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REMBOURSEMENT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Non remboursable dans les indications de l'AMM</w:t>
            </w:r>
          </w:p>
        </w:tc>
      </w:tr>
      <w:tr>
        <w:trPr>
          <w:trHeight w:val="400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PRÉSCRIPTION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Liste II</w:t>
            </w:r>
          </w:p>
        </w:tc>
      </w:tr>
      <w:tr>
        <w:trPr>
          <w:trHeight w:val="400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PHARMACOCINÉTIQUE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Préparation LP + prise après le repas</w:t>
              <w:br/>
              <w:t xml:space="preserve">➔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mime la sécrétion endogène de la mélatonine</w:t>
            </w:r>
            <w:r>
              <w:rPr>
                <w:rFonts w:ascii="FreeSans" w:hAnsi="FreeSans"/>
                <w:sz w:val="16"/>
                <w:szCs w:val="16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Cmax atteint en 3 h après la prise</w:t>
              <w:br/>
              <w:t>➔ durée de stabilisation de 3,5 h</w:t>
              <w:br/>
              <w:t>➔ Demi-vie au-delà de 6h.</w:t>
            </w:r>
          </w:p>
        </w:tc>
      </w:tr>
      <w:tr>
        <w:trPr>
          <w:trHeight w:val="95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INTÉRACTIONS MÉDICAMENTEUSES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Mélatonine métabolisée par le foie :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CYP1A2 </w:t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➔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Interactions possibles</w:t>
            </w:r>
            <w:r>
              <w:rPr>
                <w:rFonts w:ascii="FreeSans" w:hAnsi="FreeSans"/>
                <w:sz w:val="16"/>
                <w:szCs w:val="16"/>
              </w:rPr>
              <w:t xml:space="preserve"> entre la mélatonine et autres substances actives découlant de leur effet sur les enzymes CYP1A2</w:t>
            </w:r>
          </w:p>
        </w:tc>
      </w:tr>
      <w:tr>
        <w:trPr>
          <w:trHeight w:val="876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SURDOSAGE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Aucun cas de surdosage rapporté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Essais cliniques de plus de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 xml:space="preserve">12 mois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à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 xml:space="preserve"> 5 mg / j</w:t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➔ </w:t>
            </w:r>
            <w:r>
              <w:rPr>
                <w:rFonts w:ascii="FreeSans" w:hAnsi="FreeSans"/>
                <w:color w:val="7D4D73"/>
                <w:sz w:val="16"/>
                <w:szCs w:val="16"/>
              </w:rPr>
              <w:t xml:space="preserve">Pas changement </w:t>
            </w:r>
            <w:r>
              <w:rPr>
                <w:rFonts w:ascii="FreeSans" w:hAnsi="FreeSans"/>
                <w:sz w:val="16"/>
                <w:szCs w:val="16"/>
              </w:rPr>
              <w:t>significatif des effets indésirables rapportés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Administration de doses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jusqu’à 300 mg</w:t>
            </w:r>
            <w:r>
              <w:rPr>
                <w:rFonts w:ascii="FreeSans" w:hAnsi="FreeSans"/>
                <w:sz w:val="16"/>
                <w:szCs w:val="16"/>
              </w:rPr>
              <w:t xml:space="preserve"> de mélatonine / j</w:t>
              <w:br/>
              <w:t xml:space="preserve">➔ </w:t>
            </w:r>
            <w:r>
              <w:rPr>
                <w:rFonts w:ascii="FreeSans" w:hAnsi="FreeSans"/>
                <w:color w:val="7D4D73"/>
                <w:sz w:val="16"/>
                <w:szCs w:val="16"/>
              </w:rPr>
              <w:t>Aucun</w:t>
            </w:r>
            <w:r>
              <w:rPr>
                <w:rFonts w:ascii="FreeSans" w:hAnsi="FreeSans"/>
                <w:sz w:val="16"/>
                <w:szCs w:val="16"/>
              </w:rPr>
              <w:t xml:space="preserve"> effet indésirable </w:t>
            </w:r>
            <w:r>
              <w:rPr>
                <w:rFonts w:ascii="FreeSans" w:hAnsi="FreeSans"/>
                <w:color w:val="7D4D73"/>
                <w:sz w:val="16"/>
                <w:szCs w:val="16"/>
              </w:rPr>
              <w:t>cliniquement significatif</w:t>
            </w:r>
          </w:p>
        </w:tc>
      </w:tr>
      <w:tr>
        <w:trPr>
          <w:trHeight w:val="797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EFFETS SECONDAIRES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Essais cliniques :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- 1931 patients sous CIRCADIN (3,01 %)</w:t>
              <w:br/>
              <w:t>- 1642 patients sous placebo (5,74 %)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color w:val="E65D12"/>
                <w:sz w:val="16"/>
                <w:szCs w:val="16"/>
              </w:rPr>
              <w:t>Plus d’effets secondaires sous placebo</w:t>
            </w:r>
          </w:p>
        </w:tc>
      </w:tr>
      <w:tr>
        <w:trPr>
          <w:trHeight w:val="86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CONTRE-INDICATIONS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color w:val="7D4D73"/>
                <w:sz w:val="16"/>
                <w:szCs w:val="16"/>
              </w:rPr>
              <w:t>Hypersensibilité</w:t>
            </w:r>
            <w:r>
              <w:rPr>
                <w:rFonts w:ascii="FreeSans" w:hAnsi="FreeSans"/>
                <w:sz w:val="16"/>
                <w:szCs w:val="16"/>
              </w:rPr>
              <w:t xml:space="preserve"> à la substance active ou à l'un des excipients.</w:t>
            </w:r>
          </w:p>
        </w:tc>
      </w:tr>
      <w:tr>
        <w:trPr>
          <w:trHeight w:val="79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ÉTUDES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i/>
                <w:iCs/>
                <w:sz w:val="16"/>
                <w:szCs w:val="16"/>
              </w:rPr>
              <w:t>Étude Lemoine, 2007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7" w:leader="none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- L’administration de mélatonine LP au coucher sur une durée de 3 semaines chez les patients insomniaques âgés de 55 ans et plus : </w:t>
              <w:br/>
              <w:t xml:space="preserve"> • Améliore la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qualité du sommeil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  <w:br/>
              <w:t xml:space="preserve"> • Augmente la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vigilance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matinale </w:t>
              <w:br/>
              <w:t xml:space="preserve"> • Augmente la valeur réparatrice du sommeil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7" w:leader="none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-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Aucun rebond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l’insomnie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7" w:leader="none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-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Aucun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effet de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 xml:space="preserve"> sevrage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7" w:leader="none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i/>
                <w:iCs/>
                <w:sz w:val="16"/>
                <w:szCs w:val="16"/>
              </w:rPr>
              <w:t>Étude Wade, 2007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La mélatonine LP, administrée à des patients âgés de 55 à 80 ans souffrant d’insomnies primaires : </w:t>
              <w:br/>
              <w:t xml:space="preserve">• Améliore la qualité du sommeil et la vigilance matinale  </w:t>
              <w:br/>
              <w:t xml:space="preserve">• Améliore le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sentiment de bien-être</w:t>
            </w:r>
            <w:r>
              <w:rPr>
                <w:rFonts w:ascii="FreeSans" w:hAnsi="FreeSans"/>
                <w:b w:val="false"/>
                <w:bCs w:val="false"/>
                <w:color w:val="7D4D73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br/>
              <w:t xml:space="preserve">•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Diminue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la latence d’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endormissement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i/>
                <w:iCs/>
                <w:sz w:val="16"/>
                <w:szCs w:val="16"/>
              </w:rPr>
              <w:t>Étude Wade, 2010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Les patients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âgés de 65 ans et plus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atteints d’insomnie primaire obtiennent de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meilleure réponse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au traitement par mélatonine LP que les personnes plus jeunes.  </w:t>
              <w:br/>
              <w:t xml:space="preserve">Un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 xml:space="preserve">faible taux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de sécrétion de mélatonine n’est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pas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un facteur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prédictif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la réponse à la mélatonine LP dans l’insomnie. </w:t>
              <w:br/>
              <w:t xml:space="preserve">L’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efficacité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la mélatonine LP est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augmentée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lorsque la prise est prolongée durant une </w:t>
            </w:r>
            <w:r>
              <w:rPr>
                <w:rFonts w:ascii="FreeSans" w:hAnsi="FreeSans"/>
                <w:b/>
                <w:bCs/>
                <w:color w:val="E65D12"/>
                <w:sz w:val="16"/>
                <w:szCs w:val="16"/>
              </w:rPr>
              <w:t>période de 6 mois.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 `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i/>
                <w:iCs/>
                <w:sz w:val="16"/>
                <w:szCs w:val="16"/>
              </w:rPr>
              <w:t>Etude Luthringer 2009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Chez les patients âgés de 55 ans ou plus atteints d’insomnie primaire :  </w:t>
              <w:br/>
              <w:t xml:space="preserve">•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Induit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efficacement le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sommeil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 </w:t>
              <w:br/>
              <w:t xml:space="preserve">•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Améliore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la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qualité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du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sommeil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 </w:t>
              <w:br/>
              <w:t xml:space="preserve">•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N’altère pas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la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structure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du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sommeil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 </w:t>
              <w:br/>
              <w:t xml:space="preserve">•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N’altère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pas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les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performances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psychomotrices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diurnes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qui sont même meilleures  </w:t>
              <w:br/>
              <w:t xml:space="preserve">• Est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bien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tolérée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,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sans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signe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d’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effet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rebond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.</w:t>
            </w:r>
          </w:p>
        </w:tc>
      </w:tr>
      <w:tr>
        <w:trPr>
          <w:trHeight w:val="79" w:hRule="atLeast"/>
        </w:trPr>
        <w:tc>
          <w:tcPr>
            <w:tcW w:w="1924" w:type="dxa"/>
            <w:tcBorders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RECOMMANDATIONS</w:t>
            </w:r>
          </w:p>
        </w:tc>
        <w:tc>
          <w:tcPr>
            <w:tcW w:w="9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Recommandations de la SFRMS 2020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1 En cas d'insomnie primaire ou non comorbide, il n'y a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pas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d'indication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traitement par la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mélatonine à libération immédiate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2 Recommandation Grade A.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La mélatonine à libération prolongée à la dose de 2 mg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, 1 à 2 heures avant le coucher, pendant 3 mois : </w:t>
              <w:br/>
              <w:t xml:space="preserve">➔ diminue subjectivement et objectivement la latence de l'endormissement </w:t>
              <w:br/>
              <w:t xml:space="preserve">➔ améliore la qualité du sommeil </w:t>
              <w:br/>
              <w:t xml:space="preserve">➔ Améliore la vigilance matinale et la qualité de vie, </w:t>
              <w:br/>
              <w:t xml:space="preserve">➔ sans effet secondaire grave et </w:t>
              <w:br/>
              <w:t>➔ sans symptômes de sevrage lorsque la mélatonine est arrêtée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(Une durée de traitement plus longue s'accompagne d'une plus grande amélioration du sommeil.)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28" w:after="28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« Chez les sujets de plus de 55 ans, il convient de privilégier la forme à libération prolongée, approuvée par l’ANSM, avec </w:t>
            </w:r>
            <w:r>
              <w:rPr>
                <w:rFonts w:ascii="FreeSans" w:hAnsi="FreeSans"/>
                <w:b/>
                <w:bCs/>
                <w:color w:val="7D4D73"/>
                <w:sz w:val="16"/>
                <w:szCs w:val="16"/>
              </w:rPr>
              <w:t>CIRCADIN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. »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631</Words>
  <Characters>3200</Characters>
  <CharactersWithSpaces>3813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2023-07-09T06:14:14Z</dcterms:created>
  <dc:creator/>
  <dc:description/>
  <dc:language>fr-FR</dc:language>
  <cp:lastModifiedBy/>
  <dcterms:modified xsi:type="dcterms:W3CDTF">2023-07-09T22:32:16Z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