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00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324"/>
        <w:gridCol w:w="4484"/>
        <w:gridCol w:w="4592"/>
      </w:tblGrid>
      <w:tr>
        <w:trPr>
          <w:trHeight w:val="256" w:hRule="atLeast"/>
        </w:trPr>
        <w:tc>
          <w:tcPr>
            <w:tcW w:w="2324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4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b/>
                <w:b/>
                <w:bCs/>
                <w:color w:val="63346B"/>
                <w:sz w:val="24"/>
                <w:szCs w:val="24"/>
              </w:rPr>
            </w:pPr>
            <w:r>
              <w:rPr>
                <w:rFonts w:ascii="FreeSans" w:hAnsi="FreeSans"/>
                <w:b/>
                <w:bCs/>
                <w:color w:val="63346B"/>
                <w:sz w:val="24"/>
                <w:szCs w:val="24"/>
              </w:rPr>
              <w:t>COLPOFIX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4575" w:leader="none"/>
              </w:tabs>
              <w:bidi w:val="0"/>
              <w:ind w:left="0" w:right="0" w:hanging="0"/>
              <w:jc w:val="center"/>
              <w:rPr>
                <w:rFonts w:ascii="FreeSans" w:hAnsi="FreeSans"/>
                <w:color w:val="00B0F0"/>
                <w:sz w:val="24"/>
                <w:szCs w:val="24"/>
              </w:rPr>
            </w:pPr>
            <w:r>
              <w:rPr>
                <w:rFonts w:ascii="FreeSans" w:hAnsi="FreeSans"/>
                <w:b/>
                <w:color w:val="00B0F0"/>
                <w:sz w:val="24"/>
                <w:szCs w:val="24"/>
              </w:rPr>
              <w:t>PAPILOCARE</w:t>
            </w:r>
          </w:p>
        </w:tc>
      </w:tr>
      <w:tr>
        <w:trPr>
          <w:trHeight w:val="256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INDICATION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Traitement des lésions du col de l’utérus occasionnées par le HPV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963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PROPRIÉTÉS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1. Aide à la régression des lésions CIN1 </w:t>
              <w:br/>
              <w:t xml:space="preserve">2. Améliore la clairance du HPV </w:t>
              <w:br/>
              <w:t>3. Favorise l’épithélialisation de la muqueuse cervicale</w:t>
              <w:br/>
              <w:t>4. Restaure les conditions physiologiques vaginales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1741" w:hRule="atLeast"/>
        </w:trPr>
        <w:tc>
          <w:tcPr>
            <w:tcW w:w="23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COMPOSITION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center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8"/>
                <w:szCs w:val="18"/>
              </w:rPr>
              <w:t>POLYCARBOPHILE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br/>
              <w:t>(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Polymère de synthèse)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Forte capacité de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muco-adhésion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  <w:br/>
              <w:t>contient des ions H+ qui permettent une liaison avec la mucine secrétée par les muqueuses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Forme un film qui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 xml:space="preserve">couvre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et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 xml:space="preserve"> protège la muqueuse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cervico</w:t>
            </w:r>
            <w:r>
              <w:rPr>
                <w:rFonts w:ascii="FreeSans" w:hAnsi="FreeSans"/>
                <w:b w:val="false"/>
                <w:bCs w:val="false"/>
                <w:color w:val="63346B"/>
                <w:sz w:val="16"/>
                <w:szCs w:val="16"/>
              </w:rPr>
              <w:t>-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vaginal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0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Maintient une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 xml:space="preserve">acidité favorable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au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 xml:space="preserve"> microbiote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vaginal </w:t>
              <w:br/>
              <w:t xml:space="preserve">une fois lié au mucus, les protons sont libérés ce qui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réduit le pH local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11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953" w:hRule="atLeast"/>
        </w:trPr>
        <w:tc>
          <w:tcPr>
            <w:tcW w:w="2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8"/>
                <w:szCs w:val="18"/>
              </w:rPr>
              <w:t>CARBOXYMETHYL ẞ-GLUCAN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br/>
              <w:t>(</w:t>
            </w:r>
            <w:r>
              <w:rPr>
                <w:rFonts w:ascii="FreeSans" w:hAnsi="FreeSans"/>
                <w:sz w:val="16"/>
                <w:szCs w:val="16"/>
              </w:rPr>
              <w:t>polysaccharide naturel)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6"/>
                <w:szCs w:val="16"/>
              </w:rPr>
              <w:t xml:space="preserve">se trouve dans :  levures, bactéries, champignons, algues, orge, avoine </w:t>
              <w:br/>
              <w:t>➔ soluble dans l’eau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Haut pouvoir de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viscosité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158" w:leader="none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Associé au polycarbophile, forme un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gel thixotropique</w:t>
            </w:r>
            <w:r>
              <w:rPr>
                <w:rFonts w:ascii="FreeSans" w:hAnsi="FreeSans"/>
                <w:sz w:val="16"/>
                <w:szCs w:val="16"/>
              </w:rPr>
              <w:t xml:space="preserve"> : </w:t>
              <w:br/>
              <w:tab/>
            </w:r>
            <w:r>
              <w:rPr>
                <w:rFonts w:ascii="FreeSans" w:hAnsi="FreeSans"/>
                <w:b w:val="false"/>
                <w:bCs w:val="false"/>
                <w:color w:val="8368AB"/>
                <w:sz w:val="16"/>
                <w:szCs w:val="16"/>
              </w:rPr>
              <w:t>Viscosité variable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t>selon la force mécanique qui lui est appliquée</w:t>
              <w:br/>
              <w:tab/>
              <w:t xml:space="preserve">- Texture </w:t>
            </w:r>
            <w:r>
              <w:rPr>
                <w:rFonts w:ascii="FreeSans" w:hAnsi="FreeSans"/>
                <w:color w:val="8368AB"/>
                <w:sz w:val="16"/>
                <w:szCs w:val="16"/>
              </w:rPr>
              <w:t>liquide sous pression</w:t>
            </w:r>
            <w:r>
              <w:rPr>
                <w:rFonts w:ascii="FreeSans" w:hAnsi="FreeSans"/>
                <w:sz w:val="16"/>
                <w:szCs w:val="16"/>
              </w:rPr>
              <w:br/>
              <w:tab/>
              <w:t xml:space="preserve">- Texture </w:t>
            </w:r>
            <w:r>
              <w:rPr>
                <w:rFonts w:ascii="FreeSans" w:hAnsi="FreeSans"/>
                <w:color w:val="8368AB"/>
                <w:sz w:val="16"/>
                <w:szCs w:val="16"/>
              </w:rPr>
              <w:t>gel au repos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Stimule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l’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immunité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locale +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épithélialisation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 xml:space="preserve">Prébiotique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anti-oxydant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113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256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overflowPunct w:val="true"/>
              <w:bidi w:val="0"/>
              <w:spacing w:before="57" w:after="0"/>
              <w:ind w:left="0" w:right="57" w:hanging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FORMULE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Formule simple et efficace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Formule à 7 ingrédients</w:t>
            </w:r>
          </w:p>
        </w:tc>
      </w:tr>
      <w:tr>
        <w:trPr>
          <w:trHeight w:val="970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GALÉNIQUE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Gel «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SPRAYABLE</w:t>
            </w:r>
            <w:r>
              <w:rPr>
                <w:rFonts w:ascii="FreeSans" w:hAnsi="FreeSans"/>
                <w:sz w:val="16"/>
                <w:szCs w:val="16"/>
              </w:rPr>
              <w:t xml:space="preserve"> » </w:t>
              <w:br/>
              <w:t xml:space="preserve">• Imprégnation complète et homogène  </w:t>
              <w:br/>
              <w:t>• Pas d’écoulement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Canule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anatomique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  <w:br/>
              <w:t>• Application au plus près de la zone cible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4"/>
                <w:szCs w:val="14"/>
              </w:rPr>
            </w:pPr>
            <w:r>
              <w:rPr>
                <w:rFonts w:ascii="FreeSans" w:hAnsi="FreeSans"/>
                <w:sz w:val="14"/>
                <w:szCs w:val="14"/>
              </w:rPr>
              <w:t>N’irrite pas, ne démange pas, ne laisse pas de résidus, ne coule pas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Galénique gel «standard »</w:t>
            </w:r>
          </w:p>
        </w:tc>
      </w:tr>
      <w:tr>
        <w:trPr>
          <w:trHeight w:val="970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FORMES</w:t>
              <w:br/>
              <w:t>PRÉSENTATIONS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color w:val="auto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Flacon de 20 ml +</w:t>
            </w:r>
            <w:r>
              <w:rPr>
                <w:rFonts w:ascii="FreeSans" w:hAnsi="FreeSans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10 applicateurs</w:t>
            </w:r>
            <w:r>
              <w:rPr>
                <w:rFonts w:ascii="FreeSans" w:hAnsi="FreeSans"/>
                <w:color w:val="auto"/>
                <w:sz w:val="16"/>
                <w:szCs w:val="16"/>
              </w:rPr>
              <w:t xml:space="preserve"> à usage unique, emballés individuellement</w:t>
              <w:br/>
              <w:t>• DM lla CE0373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color w:val="auto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color w:val="auto"/>
                <w:sz w:val="16"/>
                <w:szCs w:val="16"/>
              </w:rPr>
              <w:t xml:space="preserve">PVC :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27,50€</w:t>
              <w:br/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• TVA 20%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Plusieurs présentations :  </w:t>
              <w:br/>
            </w: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sz w:val="16"/>
                <w:szCs w:val="16"/>
              </w:rPr>
              <w:t xml:space="preserve">boite de 7 et 21 tubes-canules  </w:t>
              <w:br/>
            </w: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sz w:val="16"/>
                <w:szCs w:val="16"/>
              </w:rPr>
              <w:t>2 tubes de 40 ml + applicateur</w:t>
            </w:r>
          </w:p>
        </w:tc>
      </w:tr>
      <w:tr>
        <w:trPr>
          <w:trHeight w:val="970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MODE D’UTILISATION POSOLOGIE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83" w:leader="none"/>
                <w:tab w:val="left" w:pos="842" w:leader="none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5 pulvérisations</w:t>
            </w:r>
            <w:r>
              <w:rPr>
                <w:rFonts w:ascii="FreeSans" w:hAnsi="FreeSans"/>
                <w:sz w:val="16"/>
                <w:szCs w:val="16"/>
              </w:rPr>
              <w:t xml:space="preserve"> de spray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1 fois / jour</w:t>
            </w:r>
            <w:r>
              <w:rPr>
                <w:rFonts w:ascii="FreeSans" w:hAnsi="FreeSans"/>
                <w:sz w:val="16"/>
                <w:szCs w:val="16"/>
              </w:rPr>
              <w:br/>
              <w:tab/>
              <w:t>- le soir avant le coucher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83" w:leader="none"/>
                <w:tab w:val="left" w:pos="842" w:leader="none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20 jours consécutifs</w:t>
            </w:r>
            <w:r>
              <w:rPr>
                <w:rFonts w:ascii="FreeSans" w:hAnsi="FreeSans"/>
                <w:sz w:val="16"/>
                <w:szCs w:val="16"/>
              </w:rPr>
              <w:t xml:space="preserve"> par mois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83" w:leader="none"/>
                <w:tab w:val="left" w:pos="842" w:leader="none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Pendant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3 mois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597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CONSEILS D’UTILISATION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Il est recommandé de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tenir</w:t>
            </w:r>
            <w:r>
              <w:rPr>
                <w:rFonts w:ascii="FreeSans" w:hAnsi="FreeSans"/>
                <w:sz w:val="16"/>
                <w:szCs w:val="16"/>
              </w:rPr>
              <w:t xml:space="preserve"> le flacon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verticalement</w:t>
            </w:r>
            <w:r>
              <w:rPr>
                <w:rFonts w:ascii="FreeSans" w:hAnsi="FreeSans"/>
                <w:sz w:val="16"/>
                <w:szCs w:val="16"/>
              </w:rPr>
              <w:t xml:space="preserve"> et d’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actionner</w:t>
            </w:r>
            <w:r>
              <w:rPr>
                <w:rFonts w:ascii="FreeSans" w:hAnsi="FreeSans"/>
                <w:sz w:val="16"/>
                <w:szCs w:val="16"/>
              </w:rPr>
              <w:t xml:space="preserve"> le spray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avec le pouce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Après une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chirurgie</w:t>
            </w:r>
            <w:r>
              <w:rPr>
                <w:rFonts w:ascii="FreeSans" w:hAnsi="FreeSans"/>
                <w:sz w:val="16"/>
                <w:szCs w:val="16"/>
              </w:rPr>
              <w:t xml:space="preserve"> du col , délai de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1 mois</w:t>
            </w:r>
            <w:r>
              <w:rPr>
                <w:rFonts w:ascii="FreeSans" w:hAnsi="FreeSans"/>
                <w:sz w:val="16"/>
                <w:szCs w:val="16"/>
              </w:rPr>
              <w:t xml:space="preserve"> avant l’utilisation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597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DURÉE DE TRAITEMENT RECOMMANDÉE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3 mois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t>6 mois</w:t>
            </w:r>
          </w:p>
        </w:tc>
      </w:tr>
      <w:tr>
        <w:trPr>
          <w:trHeight w:val="597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COÛT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Pour 3 mois de traitement : 150 € (6 boites)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Pour 6 mois de traitement : env. 300 €</w:t>
            </w:r>
          </w:p>
        </w:tc>
      </w:tr>
      <w:tr>
        <w:trPr>
          <w:trHeight w:val="149" w:hRule="atLeast"/>
        </w:trPr>
        <w:tc>
          <w:tcPr>
            <w:tcW w:w="23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PREUVES D’EFFICACITÉ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sz w:val="16"/>
                <w:szCs w:val="16"/>
              </w:rPr>
              <w:t>2 études publiées (rétrospectives)</w:t>
              <w:br/>
              <w:t>• 1800 patientes</w:t>
            </w:r>
          </w:p>
        </w:tc>
        <w:tc>
          <w:tcPr>
            <w:tcW w:w="4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Développement clinique en cours :  </w:t>
              <w:br/>
            </w: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sz w:val="16"/>
                <w:szCs w:val="16"/>
              </w:rPr>
              <w:t xml:space="preserve">Pilote sur 21 patientes (Palacios S et al., 2017)  </w:t>
              <w:br/>
            </w:r>
            <w:r>
              <w:rPr>
                <w:rFonts w:ascii="FreeSans" w:hAnsi="FreeSans"/>
                <w:b w:val="false"/>
                <w:bCs w:val="false"/>
                <w:color w:val="595959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sz w:val="16"/>
                <w:szCs w:val="16"/>
              </w:rPr>
              <w:t xml:space="preserve">1 essai clinique de phase IIb  </w:t>
              <w:br/>
              <w:t xml:space="preserve">Régression des lésions ASCUS/LSIL (cytologie + colposcopie négatives) après 6 mois de traitement :  </w:t>
              <w:br/>
            </w:r>
            <w:r>
              <w:rPr>
                <w:rFonts w:ascii="FreeSans" w:hAnsi="FreeSans"/>
                <w:sz w:val="14"/>
                <w:szCs w:val="14"/>
              </w:rPr>
              <w:t>85% Groupe Papilocare (43/53) vs 63% Groupe contrôle (20/31)</w:t>
            </w:r>
          </w:p>
        </w:tc>
      </w:tr>
      <w:tr>
        <w:trPr>
          <w:trHeight w:val="149" w:hRule="atLeast"/>
        </w:trPr>
        <w:tc>
          <w:tcPr>
            <w:tcW w:w="2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/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149" w:hRule="atLeast"/>
        </w:trPr>
        <w:tc>
          <w:tcPr>
            <w:tcW w:w="2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/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149" w:hRule="atLeast"/>
        </w:trPr>
        <w:tc>
          <w:tcPr>
            <w:tcW w:w="232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/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59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</w:tr>
      <w:tr>
        <w:trPr>
          <w:trHeight w:val="93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ÉTUDES</w:t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  <w:shd w:fill="DEDCE6" w:val="clear"/>
          </w:tcPr>
          <w:p>
            <w:pPr>
              <w:pStyle w:val="Normal"/>
              <w:widowControl w:val="false"/>
              <w:tabs>
                <w:tab w:val="clear" w:pos="709"/>
                <w:tab w:val="left" w:pos="300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i/>
                <w:iCs/>
                <w:sz w:val="16"/>
                <w:szCs w:val="16"/>
              </w:rPr>
              <w:t>Stentella P et al.</w:t>
            </w:r>
            <w:r>
              <w:rPr>
                <w:rFonts w:ascii="FreeSans" w:hAnsi="FreeSans"/>
                <w:b w:val="false"/>
                <w:bCs w:val="false"/>
                <w:i/>
                <w:iCs/>
                <w:sz w:val="16"/>
                <w:szCs w:val="16"/>
              </w:rPr>
              <w:t xml:space="preserve">, 2017 (n=999) </w:t>
              <w:br/>
            </w:r>
            <w:r>
              <w:rPr>
                <w:rFonts w:ascii="FreeSans" w:hAnsi="FreeSan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20 jours d’application </w:t>
            </w:r>
            <w:r>
              <w:rPr>
                <w:rFonts w:ascii="FreeSans" w:hAnsi="FreeSans"/>
                <w:b w:val="false"/>
                <w:bCs w:val="false"/>
                <w:i w:val="false"/>
                <w:iCs w:val="false"/>
                <w:color w:val="63346B"/>
                <w:sz w:val="16"/>
                <w:szCs w:val="16"/>
              </w:rPr>
              <w:t>COLPOFIX</w:t>
            </w:r>
            <w:r>
              <w:rPr>
                <w:rFonts w:ascii="FreeSans" w:hAnsi="FreeSans"/>
                <w:b w:val="false"/>
                <w:bCs w:val="false"/>
                <w:i w:val="false"/>
                <w:iCs w:val="false"/>
                <w:sz w:val="16"/>
                <w:szCs w:val="16"/>
              </w:rPr>
              <w:t xml:space="preserve"> / mois, pdt 2 mois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EDCE6" w:val="clear"/>
          </w:tcPr>
          <w:p>
            <w:pPr>
              <w:pStyle w:val="Normal"/>
              <w:widowControl w:val="false"/>
              <w:tabs>
                <w:tab w:val="clear" w:pos="709"/>
                <w:tab w:val="left" w:pos="292" w:leader="none"/>
              </w:tabs>
              <w:bidi w:val="0"/>
              <w:spacing w:before="57" w:after="57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</w:r>
          </w:p>
        </w:tc>
      </w:tr>
      <w:tr>
        <w:trPr>
          <w:trHeight w:val="60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RÉGRESSION DES LÉSIONS CIN1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92" w:leader="none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bCs/>
                <w:i/>
                <w:iCs/>
                <w:color w:val="63346B"/>
                <w:sz w:val="16"/>
                <w:szCs w:val="16"/>
              </w:rPr>
              <w:t>95,7%</w:t>
            </w:r>
            <w:r>
              <w:rPr>
                <w:rFonts w:ascii="FreeSans" w:hAnsi="FreeSans"/>
                <w:b w:val="false"/>
                <w:bCs w:val="false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i/>
                <w:iCs/>
                <w:color w:val="63346B"/>
                <w:sz w:val="16"/>
                <w:szCs w:val="16"/>
              </w:rPr>
              <w:t>COLPOFIX</w:t>
            </w:r>
            <w:r>
              <w:rPr>
                <w:rFonts w:ascii="FreeSans" w:hAnsi="FreeSans"/>
                <w:b w:val="false"/>
                <w:bCs w:val="false"/>
                <w:i/>
                <w:iCs/>
                <w:sz w:val="16"/>
                <w:szCs w:val="16"/>
              </w:rPr>
              <w:t xml:space="preserve"> vs </w:t>
            </w:r>
            <w:r>
              <w:rPr>
                <w:rFonts w:ascii="FreeSans" w:hAnsi="FreeSans"/>
                <w:b/>
                <w:bCs/>
                <w:i/>
                <w:iCs/>
                <w:color w:val="63346B"/>
                <w:sz w:val="16"/>
                <w:szCs w:val="16"/>
              </w:rPr>
              <w:t>71%</w:t>
            </w:r>
            <w:r>
              <w:rPr>
                <w:rFonts w:ascii="FreeSans" w:hAnsi="FreeSans"/>
                <w:b w:val="false"/>
                <w:bCs w:val="false"/>
                <w:i/>
                <w:iCs/>
                <w:sz w:val="16"/>
                <w:szCs w:val="16"/>
              </w:rPr>
              <w:t xml:space="preserve"> contrôle, à 6 mois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center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96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  <w:shd w:fill="DEDCE6" w:val="clear"/>
          </w:tcPr>
          <w:p>
            <w:pPr>
              <w:pStyle w:val="Normal"/>
              <w:widowControl w:val="false"/>
              <w:tabs>
                <w:tab w:val="clear" w:pos="709"/>
                <w:tab w:val="left" w:pos="292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i/>
                <w:iCs/>
                <w:sz w:val="16"/>
                <w:szCs w:val="16"/>
              </w:rPr>
              <w:t>Lavitola G et al.</w:t>
            </w:r>
            <w:r>
              <w:rPr>
                <w:rFonts w:ascii="FreeSans" w:hAnsi="FreeSans"/>
                <w:b w:val="false"/>
                <w:bCs w:val="false"/>
                <w:i/>
                <w:iCs/>
                <w:sz w:val="16"/>
                <w:szCs w:val="16"/>
              </w:rPr>
              <w:t>, 2020 (n=784)</w:t>
              <w:br/>
            </w:r>
            <w:r>
              <w:rPr>
                <w:rFonts w:ascii="FreeSans" w:hAnsi="FreeSans"/>
                <w:b w:val="false"/>
                <w:bCs w:val="false"/>
                <w:i w:val="false"/>
                <w:iCs w:val="false"/>
                <w:sz w:val="16"/>
                <w:szCs w:val="16"/>
              </w:rPr>
              <w:t>3 mois d’application COLPOFIX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EDCE6" w:val="clear"/>
          </w:tcPr>
          <w:p>
            <w:pPr>
              <w:pStyle w:val="Normal"/>
              <w:widowControl w:val="false"/>
              <w:tabs>
                <w:tab w:val="clear" w:pos="709"/>
                <w:tab w:val="left" w:pos="292" w:leader="none"/>
              </w:tabs>
              <w:bidi w:val="0"/>
              <w:spacing w:before="57" w:after="57"/>
              <w:jc w:val="center"/>
              <w:rPr>
                <w:rFonts w:ascii="FreeSans" w:hAnsi="FreeSans"/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i/>
                <w:iCs/>
                <w:sz w:val="16"/>
                <w:szCs w:val="16"/>
              </w:rPr>
            </w:r>
          </w:p>
        </w:tc>
      </w:tr>
      <w:tr>
        <w:trPr>
          <w:trHeight w:val="1695" w:hRule="atLeast"/>
        </w:trPr>
        <w:tc>
          <w:tcPr>
            <w:tcW w:w="2324" w:type="dxa"/>
            <w:tcBorders>
              <w:left w:val="single" w:sz="2" w:space="0" w:color="000000"/>
              <w:bottom w:val="single" w:sz="2" w:space="0" w:color="63346B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63346B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/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ELIMINATION DU HPV FAVORISÉE 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-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39,1%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63346B"/>
                <w:sz w:val="16"/>
                <w:szCs w:val="16"/>
              </w:rPr>
              <w:t>COLPOFIX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vs </w:t>
            </w:r>
            <w:r>
              <w:rPr>
                <w:rFonts w:ascii="FreeSans" w:hAnsi="FreeSans"/>
                <w:b/>
                <w:bCs/>
                <w:color w:val="63346B"/>
                <w:sz w:val="16"/>
                <w:szCs w:val="16"/>
              </w:rPr>
              <w:t>-16,5%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contrôle, à 6 mois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RE-EPITHÉLIALISATION FAVORISÉE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 </w:t>
              <w:br/>
              <w:t xml:space="preserve">- Réduction de l’ectopie </w:t>
              <w:br/>
              <w:t>- Augmentation de la métaplasie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0"/>
              <w:jc w:val="left"/>
              <w:rPr>
                <w:rFonts w:ascii="FreeSans" w:hAnsi="FreeSans"/>
                <w:b w:val="false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i/>
                <w:iCs/>
                <w:sz w:val="16"/>
                <w:szCs w:val="16"/>
              </w:rPr>
              <w:t>RESTAURATION DES CONDITIONS PHYSIO. VAGINALES</w:t>
            </w:r>
            <w:r>
              <w:rPr>
                <w:rFonts w:ascii="FreeSans" w:hAnsi="FreeSans"/>
                <w:b w:val="false"/>
                <w:bCs w:val="false"/>
                <w:i/>
                <w:iCs/>
                <w:sz w:val="16"/>
                <w:szCs w:val="16"/>
              </w:rPr>
              <w:br/>
              <w:t>- pH, équilibre du microbiote vaginal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63346B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1</Pages>
  <Words>471</Words>
  <Characters>2427</Characters>
  <CharactersWithSpaces>2878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2023-07-09T03:35:00Z</dcterms:created>
  <dc:creator/>
  <dc:description/>
  <dc:language>fr-FR</dc:language>
  <cp:lastModifiedBy/>
  <dcterms:modified xsi:type="dcterms:W3CDTF">2023-07-10T08:40:16Z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