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Synthèse des études </w:t>
      </w:r>
      <w:r>
        <w:rPr>
          <w:rFonts w:cs="Arial"/>
          <w:b/>
          <w:i/>
          <w:sz w:val="28"/>
          <w:szCs w:val="28"/>
        </w:rPr>
        <w:t>Saccharomyces boulardii et D</w:t>
      </w:r>
      <w:r>
        <w:rPr>
          <w:rFonts w:cs="Arial"/>
          <w:b/>
          <w:i/>
          <w:sz w:val="28"/>
          <w:szCs w:val="28"/>
        </w:rPr>
        <w:t xml:space="preserve">iarrhées </w:t>
      </w:r>
      <w:r>
        <w:rPr>
          <w:rFonts w:cs="Arial"/>
          <w:b/>
          <w:i/>
          <w:sz w:val="28"/>
          <w:szCs w:val="28"/>
        </w:rPr>
        <w:t>A</w:t>
      </w:r>
      <w:r>
        <w:rPr>
          <w:rFonts w:cs="Arial"/>
          <w:b/>
          <w:i/>
          <w:sz w:val="28"/>
          <w:szCs w:val="28"/>
        </w:rPr>
        <w:t xml:space="preserve">ssociées aux </w:t>
      </w:r>
      <w:r>
        <w:rPr>
          <w:rFonts w:cs="Arial"/>
          <w:b/>
          <w:i/>
          <w:sz w:val="28"/>
          <w:szCs w:val="28"/>
        </w:rPr>
        <w:t>A</w:t>
      </w:r>
      <w:r>
        <w:rPr>
          <w:rFonts w:cs="Arial"/>
          <w:b/>
          <w:i/>
          <w:sz w:val="28"/>
          <w:szCs w:val="28"/>
        </w:rPr>
        <w:t>ntibiotiques</w:t>
      </w:r>
    </w:p>
    <w:p>
      <w:pPr>
        <w:pStyle w:val="Normal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7"/>
        <w:gridCol w:w="1776"/>
        <w:gridCol w:w="1843"/>
        <w:gridCol w:w="1842"/>
        <w:gridCol w:w="2100"/>
      </w:tblGrid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Etudes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Méthodologie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et type de patients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Dosages </w:t>
            </w:r>
            <w:r>
              <w:rPr>
                <w:rFonts w:cs="Arial"/>
                <w:b/>
                <w:i/>
                <w:sz w:val="20"/>
                <w:szCs w:val="20"/>
              </w:rPr>
              <w:t>Saccharomyces boulardii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Résultats dans groupe 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Sb </w:t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Adam 1976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Médecine et chirurgie digestive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Multicentrique double aveugle contre placebo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388 adultes traités par           </w:t>
            </w:r>
            <w:r>
              <w:rPr>
                <w:rFonts w:eastAsia="Symbol" w:cs="Symbol" w:ascii="Symbol" w:hAnsi="Symbol"/>
                <w:sz w:val="20"/>
                <w:szCs w:val="20"/>
              </w:rPr>
              <w:t></w:t>
            </w:r>
            <w:r>
              <w:rPr>
                <w:rFonts w:cs="Arial"/>
                <w:sz w:val="20"/>
                <w:szCs w:val="20"/>
              </w:rPr>
              <w:t>-lactamines ou cyclines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200 mg/j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Sb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placebo pdt durée de antibiothérapie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75 % diarrhées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4 fois moins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83 % candidoses</w:t>
              <w:br/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6 fois moins</w:t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Surawicz 1989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Gastroenterology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Randomisée double aveugle contre placebo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 patients hospitalisés + antibiothérapie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1g/j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</w:rPr>
              <w:t>Sb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placebo pdt durée de antibiothérapie + 2 semaines après arrêt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57 % diarrhées</w:t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Mc Farland 1994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JAMA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Multicentrique randomisée double aveugle contre placebo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124 patients atteints de diarrhées ou colites à </w:t>
            </w:r>
            <w:r>
              <w:rPr>
                <w:rFonts w:cs="Arial"/>
                <w:i/>
                <w:sz w:val="20"/>
                <w:szCs w:val="20"/>
              </w:rPr>
              <w:t>C. difficile</w:t>
            </w:r>
            <w:r>
              <w:rPr>
                <w:rFonts w:cs="Arial"/>
                <w:sz w:val="20"/>
                <w:szCs w:val="20"/>
              </w:rPr>
              <w:t xml:space="preserve"> traités par vancomycine ou métronidazole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1g/j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</w:rPr>
              <w:t>Sb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placebo pdt 1 mois + surveillance 1 mois supplémentaire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41 % récidives tout patient confondu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47 % récidives chez les patients ayant déjà eu un 1</w:t>
            </w:r>
            <w:r>
              <w:rPr>
                <w:rFonts w:cs="Arial"/>
                <w:b/>
                <w:color w:val="FF0000"/>
                <w:sz w:val="20"/>
                <w:szCs w:val="20"/>
                <w:vertAlign w:val="superscript"/>
              </w:rPr>
              <w:t>er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épisode d'infection à </w:t>
            </w:r>
            <w:r>
              <w:rPr>
                <w:rFonts w:cs="Arial"/>
                <w:b/>
                <w:i/>
                <w:color w:val="FF0000"/>
                <w:sz w:val="20"/>
                <w:szCs w:val="20"/>
              </w:rPr>
              <w:t>C. difficile</w:t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Kotowska 2005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sz w:val="20"/>
                <w:szCs w:val="20"/>
                <w:lang w:val="en-GB"/>
              </w:rPr>
              <w:t>Alimentary</w:t>
            </w:r>
            <w:r>
              <w:rPr>
                <w:rFonts w:cs="Arial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  <w:szCs w:val="20"/>
                <w:lang w:val="en-GB"/>
              </w:rPr>
              <w:t>Pharmacology and Therapeutics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Randomisée double aveugle contre placebo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269 enfants traités par ATB pour infection ORL ou respiratoire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500mg/j </w:t>
            </w:r>
            <w:r>
              <w:rPr>
                <w:rFonts w:cs="Arial"/>
                <w:b/>
                <w:i/>
                <w:sz w:val="20"/>
                <w:szCs w:val="20"/>
              </w:rPr>
              <w:t>Sb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placebo pdt durée de antibiothérapie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70 % diarrhées (toutes confondues)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80 % de DAA tout antibiotique confondu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85 % diarrhées sous amoxicilline + acide clavulanique</w:t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Shan 2013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Beneficial microbes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Prevention et Traitement de DAA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Randomisée contrôlée 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ouvert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333 enfants de 6 mois à 14 ans avec infection respiratoire basse traités par ATB en IV :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Groupe A avec UL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Groupe B sans UL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Patients du Groupe B de la 1ere phase sans UL ayant fait une diarrhée 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Groupe B1 : 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UL + SRO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Groupe B2 : 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SRO SEUL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Prévention de DAA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500 mg/j </w:t>
            </w:r>
            <w:r>
              <w:rPr>
                <w:rFonts w:cs="Arial"/>
                <w:b/>
                <w:i/>
                <w:sz w:val="20"/>
                <w:szCs w:val="20"/>
              </w:rPr>
              <w:t>Sb</w:t>
            </w:r>
            <w:r>
              <w:rPr>
                <w:rFonts w:cs="Arial"/>
                <w:b/>
                <w:sz w:val="20"/>
                <w:szCs w:val="20"/>
              </w:rPr>
              <w:t xml:space="preserve"> +ATB en IV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ATB IV seul pdt durée de antibiothérapie IV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Traitement de DAA</w:t>
            </w:r>
          </w:p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500 mg/j 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Sb </w:t>
            </w:r>
            <w:r>
              <w:rPr>
                <w:rFonts w:cs="Arial"/>
                <w:sz w:val="20"/>
                <w:szCs w:val="20"/>
              </w:rPr>
              <w:t xml:space="preserve">+ SRO </w:t>
            </w:r>
            <w:r>
              <w:rPr>
                <w:rFonts w:cs="Arial"/>
                <w:i/>
                <w:sz w:val="20"/>
                <w:szCs w:val="20"/>
              </w:rPr>
              <w:t>versus</w:t>
            </w:r>
            <w:r>
              <w:rPr>
                <w:rFonts w:cs="Arial"/>
                <w:sz w:val="20"/>
                <w:szCs w:val="20"/>
              </w:rPr>
              <w:t xml:space="preserve"> SRO seul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Prévention de DAA</w:t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73 %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diarrhées (toutes confondues)</w:t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78 %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de DAA tout antibiotique confondu (diarrhée non due à </w:t>
            </w:r>
            <w:r>
              <w:rPr>
                <w:rFonts w:cs="Arial"/>
                <w:i/>
                <w:color w:val="FF0000"/>
                <w:sz w:val="20"/>
                <w:szCs w:val="20"/>
              </w:rPr>
              <w:t>Rotavirus</w:t>
            </w:r>
            <w:r>
              <w:rPr>
                <w:rFonts w:cs="Arial"/>
                <w:color w:val="FF0000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Traitement de DAA</w:t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</w:t>
            </w:r>
            <w:r>
              <w:rPr>
                <w:rFonts w:eastAsia="Symbol" w:cs="Symbol" w:ascii="Symbol" w:hAnsi="Symbol"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à J3 et à J5 de fréquence des selles dans groupe </w:t>
            </w:r>
            <w:r>
              <w:rPr>
                <w:rFonts w:cs="Arial"/>
                <w:i/>
                <w:color w:val="FF0000"/>
                <w:sz w:val="20"/>
                <w:szCs w:val="20"/>
              </w:rPr>
              <w:t>Sb</w:t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 xml:space="preserve">-% de guérison &gt;                          dans groupe </w:t>
            </w:r>
            <w:r>
              <w:rPr>
                <w:rFonts w:cs="Arial"/>
                <w:i/>
                <w:color w:val="FF0000"/>
                <w:sz w:val="20"/>
                <w:szCs w:val="20"/>
              </w:rPr>
              <w:t>Sb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à J3 et J5 </w:t>
            </w:r>
          </w:p>
          <w:p>
            <w:pPr>
              <w:pStyle w:val="Normal"/>
              <w:widowControl w:val="false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</w:t>
            </w:r>
            <w:r>
              <w:rPr>
                <w:rFonts w:eastAsia="Symbol" w:cs="Symbol" w:ascii="Symbol" w:hAnsi="Symbol"/>
                <w:color w:val="FF0000"/>
                <w:sz w:val="20"/>
                <w:szCs w:val="20"/>
              </w:rPr>
              <w:t>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durée moyenne (d’une semaine) de la diarrhée                                        dans groupe 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Sb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Footer"/>
        <w:tabs>
          <w:tab w:val="clear" w:pos="4536"/>
          <w:tab w:val="clear" w:pos="9072"/>
        </w:tabs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 xml:space="preserve">Synthèse des études avec </w:t>
      </w:r>
      <w:r>
        <w:rPr>
          <w:rFonts w:cs="Arial" w:ascii="Arial" w:hAnsi="Arial"/>
          <w:b/>
          <w:bCs/>
          <w:i/>
          <w:szCs w:val="24"/>
        </w:rPr>
        <w:t>Saccharomyces boulardii</w:t>
      </w:r>
      <w:r>
        <w:rPr>
          <w:rFonts w:cs="Arial" w:ascii="Arial" w:hAnsi="Arial"/>
          <w:b/>
          <w:bCs/>
          <w:szCs w:val="24"/>
        </w:rPr>
        <w:t xml:space="preserve"> dans la diarrhée aiguë</w:t>
      </w:r>
    </w:p>
    <w:p>
      <w:pPr>
        <w:pStyle w:val="Footer"/>
        <w:tabs>
          <w:tab w:val="clear" w:pos="4536"/>
          <w:tab w:val="clear" w:pos="9072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87"/>
        <w:gridCol w:w="1597"/>
        <w:gridCol w:w="1842"/>
        <w:gridCol w:w="1842"/>
        <w:gridCol w:w="2096"/>
      </w:tblGrid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</w:t>
            </w:r>
            <w:r>
              <w:rPr>
                <w:rFonts w:cs="Arial" w:ascii="Arial" w:hAnsi="Arial"/>
                <w:b/>
                <w:bCs/>
                <w:sz w:val="20"/>
                <w:shd w:fill="CC99FF" w:val="clear"/>
              </w:rPr>
              <w:t>tudes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Méthodologie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et type de patients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Dosages </w:t>
            </w:r>
            <w:r>
              <w:rPr>
                <w:rFonts w:cs="Arial"/>
                <w:b/>
                <w:i/>
                <w:sz w:val="20"/>
                <w:szCs w:val="20"/>
              </w:rPr>
              <w:t>Saccharomyces boulardii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Résultats dans groupe </w:t>
            </w:r>
            <w:r>
              <w:rPr>
                <w:rFonts w:cs="Arial"/>
                <w:b/>
                <w:i/>
                <w:sz w:val="20"/>
                <w:szCs w:val="20"/>
              </w:rPr>
              <w:t>S. boulardii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Chapoy 1985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Annales de pédiatrie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Contrôlée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en ouvert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38 enfants hospitalisés de 2 semaines à 30 mois atteints de diarrhée aiguë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500 mg/j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en 2 prises pdt 5j + SRO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SRO seul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nombre de selles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poids des selles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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durée du transit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</w:rPr>
              <w:t>Amélioration de la consistance des selles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Cetina-Sauri 1994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Annales de pédiatrie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Double aveugle contre placebo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130 enfants de 3 mois à 3 ans atteints de diarrhée aiguë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600 mg/j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en 3 prises + SRO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placebo + SRO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nombre de selles 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Apparition plus précoce de selles moulées 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Kurugol 2005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Acta Paediatrica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Randomisée double aveugle contre placebo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232 enfants hospitalisés de 3 mois à 7 ans atteints de diarrhée aiguë (rotavirus : 41,5 %)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250 mg/j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+ SRO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placebo + SRO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durée des diarrhées 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nbre de selles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durée de hospitalisation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>Billoo 2006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i/>
                <w:i/>
                <w:sz w:val="20"/>
                <w:lang w:val="en-GB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  <w:lang w:val="en-GB"/>
              </w:rPr>
              <w:t>The World Journal of Gastroenterology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Ouverte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contrôlée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randomisée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100 enfants de 2 mois à 12 ans atteints de diarrhée aiguë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 xml:space="preserve">500 mg/j </w:t>
            </w:r>
            <w:r>
              <w:rPr>
                <w:rFonts w:cs="Arial" w:ascii="Arial" w:hAnsi="Arial"/>
                <w:b/>
                <w:bCs/>
                <w:i/>
                <w:sz w:val="20"/>
                <w:lang w:val="en-US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 xml:space="preserve"> pdt 5j + SRO 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  <w:lang w:val="en-US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 xml:space="preserve"> SRO seul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fréquence des diarrhées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durée des diarrhées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nouveaux épisodes de diarrhées, </w:t>
            </w: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69 % à 1 mois et de </w:t>
            </w: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43 % à 2 mois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Villarruel 2007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Acta Paediatrica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Randomisée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double aveugle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contre placebo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100 enfants de 3 mois à 2 ans atteints de diarrhée aiguë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de-DE"/>
              </w:rPr>
            </w:pPr>
            <w:r>
              <w:rPr>
                <w:rFonts w:cs="Arial" w:ascii="Arial" w:hAnsi="Arial"/>
                <w:b/>
                <w:bCs/>
                <w:sz w:val="20"/>
                <w:lang w:val="de-DE"/>
              </w:rPr>
              <w:t xml:space="preserve">Enfant &lt; 1 an : 250 mg/j </w:t>
            </w:r>
            <w:r>
              <w:rPr>
                <w:rFonts w:cs="Arial" w:ascii="Arial" w:hAnsi="Arial"/>
                <w:b/>
                <w:bCs/>
                <w:i/>
                <w:sz w:val="20"/>
                <w:lang w:val="de-DE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  <w:lang w:val="de-DE"/>
              </w:rPr>
              <w:t xml:space="preserve"> + SRO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de-DE"/>
              </w:rPr>
            </w:pPr>
            <w:r>
              <w:rPr>
                <w:rFonts w:cs="Arial" w:ascii="Arial" w:hAnsi="Arial"/>
                <w:b/>
                <w:bCs/>
                <w:sz w:val="20"/>
                <w:lang w:val="de-DE"/>
              </w:rPr>
              <w:t xml:space="preserve">Enfant &gt; 1 an : 500 mg/j </w:t>
            </w:r>
            <w:r>
              <w:rPr>
                <w:rFonts w:cs="Arial" w:ascii="Arial" w:hAnsi="Arial"/>
                <w:b/>
                <w:bCs/>
                <w:i/>
                <w:sz w:val="20"/>
                <w:lang w:val="de-DE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  <w:lang w:val="de-DE"/>
              </w:rPr>
              <w:t xml:space="preserve"> + SRO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de-DE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  <w:lang w:val="de-DE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  <w:lang w:val="de-DE"/>
              </w:rPr>
              <w:t xml:space="preserve"> placebo + SRO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nbre de selles à J4 et J7 surtout si traitement précoce dans les 2 j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durée des diarrhées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75 % du risque de diarrhée traînante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>Htwe 2008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i/>
                <w:i/>
                <w:sz w:val="20"/>
                <w:lang w:val="en-GB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  <w:lang w:val="en-GB"/>
              </w:rPr>
              <w:t>The American Journal of Tropical Medecine and Hygiene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Randomisée 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contrôlée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en ouvert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100 enfants hospitalisés de 3 mois à 10 ans atteints de diarrhée aiguë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500 mg/j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+ SRO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SRO seul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durée des diarrhées de 2 j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eastAsia="Symbol" w:cs="Symbol" w:ascii="Symbol" w:hAnsi="Symbol"/>
                <w:bCs/>
                <w:color w:val="FF0000"/>
                <w:sz w:val="20"/>
              </w:rPr>
              <w:t>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 xml:space="preserve"> </w:t>
            </w:r>
            <w:r>
              <w:rPr>
                <w:rFonts w:cs="Arial" w:ascii="Arial" w:hAnsi="Arial"/>
                <w:bCs/>
                <w:color w:val="FF0000"/>
                <w:sz w:val="20"/>
              </w:rPr>
              <w:t>nbre de selles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</w:rPr>
              <w:t>Amélioration de consistance des selles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FF" w:val="clear"/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Correa 2011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JPGN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Randomisée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Double aveugle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Contre placebo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186 enfants hospitalisés dans les 72h suivant le début de la diarrhée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Agés de 6 mois à 48 mois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400 mg/j </w:t>
            </w:r>
            <w:r>
              <w:rPr>
                <w:rFonts w:cs="Arial" w:ascii="Arial" w:hAnsi="Arial"/>
                <w:b/>
                <w:bCs/>
                <w:i/>
                <w:sz w:val="20"/>
              </w:rPr>
              <w:t>Sb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+ SRO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</w:rPr>
              <w:t>vs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placebo + SRO pdt 5 j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Dès J2 ↓ fréquence de diarrhée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A J3 ↓ fréquence de diarrhée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</w:rPr>
              <w:t>A J3 chez les Rotavirus positif           ↓ fréquence de la diarrhée encore plus prononcée ++</w:t>
            </w:r>
          </w:p>
        </w:tc>
      </w:tr>
    </w:tbl>
    <w:p>
      <w:pPr>
        <w:pStyle w:val="Footer"/>
        <w:tabs>
          <w:tab w:val="clear" w:pos="4536"/>
          <w:tab w:val="clear" w:pos="9072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Footer"/>
        <w:tabs>
          <w:tab w:val="clear" w:pos="4536"/>
          <w:tab w:val="clear" w:pos="9072"/>
        </w:tabs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7df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f977df"/>
    <w:rPr>
      <w:rFonts w:ascii="Comic Sans MS" w:hAnsi="Comic Sans MS" w:eastAsia="Times New Roman" w:cs="Times New Roman"/>
      <w:sz w:val="24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rsid w:val="00f977df"/>
    <w:pPr>
      <w:tabs>
        <w:tab w:val="clear" w:pos="708"/>
        <w:tab w:val="center" w:pos="4536" w:leader="none"/>
        <w:tab w:val="right" w:pos="9072" w:leader="none"/>
      </w:tabs>
      <w:jc w:val="both"/>
    </w:pPr>
    <w:rPr>
      <w:rFonts w:ascii="Comic Sans MS" w:hAnsi="Comic Sans MS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Application>LibreOffice/7.3.7.2$Linux_X86_64 LibreOffice_project/30$Build-2</Application>
  <AppVersion>15.0000</AppVersion>
  <Pages>2</Pages>
  <Words>780</Words>
  <Characters>3603</Characters>
  <CharactersWithSpaces>4344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2019-06-28T07:53:00Z</dcterms:created>
  <dc:creator>CAMPS-VAQUER Isabelle</dc:creator>
  <dc:description/>
  <dc:language>fr-FR</dc:language>
  <cp:lastModifiedBy/>
  <dcterms:modified xsi:type="dcterms:W3CDTF">2023-06-12T20:24:37Z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