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A977F" w14:textId="148EB9E4" w:rsidR="00234400" w:rsidRDefault="00596328" w:rsidP="00596328">
      <w:pPr>
        <w:pStyle w:val="Rapport-T1"/>
      </w:pPr>
      <w:r>
        <w:t>A15 — Compte-rendu process</w:t>
      </w:r>
    </w:p>
    <w:p w14:paraId="0442A42E" w14:textId="77777777" w:rsidR="00234400" w:rsidRDefault="00000000" w:rsidP="00596328">
      <w:pPr>
        <w:pStyle w:val="Rapport-T2"/>
      </w:pPr>
      <w:r>
        <w:t xml:space="preserve">Étude des procédures existantes — </w:t>
      </w:r>
      <w:proofErr w:type="spellStart"/>
      <w:r>
        <w:t>NeoLedge</w:t>
      </w:r>
      <w:proofErr w:type="spellEnd"/>
    </w:p>
    <w:sdt>
      <w:sdtPr>
        <w:rPr>
          <w:rFonts w:ascii="Calibri" w:eastAsia="Calibri" w:hAnsi="Calibri" w:cs="Calibri"/>
          <w:b/>
          <w:bCs/>
          <w:color w:val="auto"/>
          <w:sz w:val="28"/>
          <w:szCs w:val="28"/>
        </w:rPr>
        <w:id w:val="-1171638396"/>
        <w:docPartObj>
          <w:docPartGallery w:val="Table of Contents"/>
          <w:docPartUnique/>
        </w:docPartObj>
      </w:sdtPr>
      <w:sdtEndPr>
        <w:rPr>
          <w:b w:val="0"/>
          <w:bCs w:val="0"/>
          <w:sz w:val="21"/>
          <w:szCs w:val="21"/>
        </w:rPr>
      </w:sdtEndPr>
      <w:sdtContent>
        <w:p w14:paraId="27998AF0" w14:textId="77777777" w:rsidR="00596328" w:rsidRPr="00E160C2" w:rsidRDefault="00596328" w:rsidP="00596328">
          <w:pPr>
            <w:pStyle w:val="En-ttedetabledesmatires"/>
            <w:rPr>
              <w:rFonts w:ascii="Calibri" w:hAnsi="Calibri" w:cs="Calibri"/>
              <w:b/>
              <w:bCs/>
              <w:color w:val="auto"/>
              <w:sz w:val="28"/>
              <w:szCs w:val="28"/>
            </w:rPr>
          </w:pPr>
          <w:r w:rsidRPr="00E160C2">
            <w:rPr>
              <w:rFonts w:ascii="Calibri" w:hAnsi="Calibri" w:cs="Calibri"/>
              <w:b/>
              <w:bCs/>
              <w:color w:val="auto"/>
              <w:sz w:val="28"/>
              <w:szCs w:val="28"/>
            </w:rPr>
            <w:t>Table des matières</w:t>
          </w:r>
        </w:p>
        <w:p w14:paraId="7C02C732" w14:textId="5FACB414" w:rsidR="00596328" w:rsidRDefault="00596328">
          <w:pPr>
            <w:pStyle w:val="TM1"/>
            <w:tabs>
              <w:tab w:val="right" w:leader="dot" w:pos="9016"/>
            </w:tabs>
            <w:rPr>
              <w:rFonts w:asciiTheme="minorHAnsi" w:eastAsiaTheme="minorEastAsia" w:hAnsiTheme="minorHAnsi" w:cstheme="minorBidi"/>
              <w:noProof/>
              <w:color w:val="auto"/>
              <w:kern w:val="2"/>
              <w:sz w:val="24"/>
              <w:szCs w:val="24"/>
              <w14:ligatures w14:val="standardContextual"/>
            </w:rPr>
          </w:pPr>
          <w:r w:rsidRPr="002667E3">
            <w:rPr>
              <w:color w:val="808080" w:themeColor="background1" w:themeShade="80"/>
            </w:rPr>
            <w:fldChar w:fldCharType="begin"/>
          </w:r>
          <w:r w:rsidRPr="002667E3">
            <w:rPr>
              <w:color w:val="808080" w:themeColor="background1" w:themeShade="80"/>
            </w:rPr>
            <w:instrText xml:space="preserve"> TOC \o "1-3" \h \z \u </w:instrText>
          </w:r>
          <w:r w:rsidRPr="002667E3">
            <w:rPr>
              <w:color w:val="808080" w:themeColor="background1" w:themeShade="80"/>
            </w:rPr>
            <w:fldChar w:fldCharType="separate"/>
          </w:r>
          <w:hyperlink w:anchor="_Toc235624168" w:history="1">
            <w:r w:rsidRPr="00A07B9D">
              <w:rPr>
                <w:rStyle w:val="Lienhypertexte"/>
                <w:noProof/>
              </w:rPr>
              <w:t>1. Objectif de l'entretien</w:t>
            </w:r>
            <w:r>
              <w:rPr>
                <w:noProof/>
                <w:webHidden/>
              </w:rPr>
              <w:tab/>
            </w:r>
            <w:r>
              <w:rPr>
                <w:noProof/>
                <w:webHidden/>
              </w:rPr>
              <w:fldChar w:fldCharType="begin"/>
            </w:r>
            <w:r>
              <w:rPr>
                <w:noProof/>
                <w:webHidden/>
              </w:rPr>
              <w:instrText xml:space="preserve"> PAGEREF _Toc235624168 \h </w:instrText>
            </w:r>
            <w:r>
              <w:rPr>
                <w:noProof/>
                <w:webHidden/>
              </w:rPr>
            </w:r>
            <w:r>
              <w:rPr>
                <w:noProof/>
                <w:webHidden/>
              </w:rPr>
              <w:fldChar w:fldCharType="separate"/>
            </w:r>
            <w:r>
              <w:rPr>
                <w:noProof/>
                <w:webHidden/>
              </w:rPr>
              <w:t>1</w:t>
            </w:r>
            <w:r>
              <w:rPr>
                <w:noProof/>
                <w:webHidden/>
              </w:rPr>
              <w:fldChar w:fldCharType="end"/>
            </w:r>
          </w:hyperlink>
        </w:p>
        <w:p w14:paraId="11A0C3C0" w14:textId="399F3747" w:rsidR="00596328" w:rsidRDefault="00596328">
          <w:pPr>
            <w:pStyle w:val="TM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5624169" w:history="1">
            <w:r w:rsidRPr="00A07B9D">
              <w:rPr>
                <w:rStyle w:val="Lienhypertexte"/>
                <w:noProof/>
              </w:rPr>
              <w:t>2. Le cycle de vie d'une fonctionnalité chez NeoLedge</w:t>
            </w:r>
            <w:r>
              <w:rPr>
                <w:noProof/>
                <w:webHidden/>
              </w:rPr>
              <w:tab/>
            </w:r>
            <w:r>
              <w:rPr>
                <w:noProof/>
                <w:webHidden/>
              </w:rPr>
              <w:fldChar w:fldCharType="begin"/>
            </w:r>
            <w:r>
              <w:rPr>
                <w:noProof/>
                <w:webHidden/>
              </w:rPr>
              <w:instrText xml:space="preserve"> PAGEREF _Toc235624169 \h </w:instrText>
            </w:r>
            <w:r>
              <w:rPr>
                <w:noProof/>
                <w:webHidden/>
              </w:rPr>
            </w:r>
            <w:r>
              <w:rPr>
                <w:noProof/>
                <w:webHidden/>
              </w:rPr>
              <w:fldChar w:fldCharType="separate"/>
            </w:r>
            <w:r>
              <w:rPr>
                <w:noProof/>
                <w:webHidden/>
              </w:rPr>
              <w:t>1</w:t>
            </w:r>
            <w:r>
              <w:rPr>
                <w:noProof/>
                <w:webHidden/>
              </w:rPr>
              <w:fldChar w:fldCharType="end"/>
            </w:r>
          </w:hyperlink>
        </w:p>
        <w:p w14:paraId="5F825685" w14:textId="4096BF02" w:rsidR="00596328" w:rsidRDefault="00596328">
          <w:pPr>
            <w:pStyle w:val="TM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5624170" w:history="1">
            <w:r w:rsidRPr="00A07B9D">
              <w:rPr>
                <w:rStyle w:val="Lienhypertexte"/>
                <w:noProof/>
              </w:rPr>
              <w:t>3. La prise de décision</w:t>
            </w:r>
            <w:r>
              <w:rPr>
                <w:noProof/>
                <w:webHidden/>
              </w:rPr>
              <w:tab/>
            </w:r>
            <w:r>
              <w:rPr>
                <w:noProof/>
                <w:webHidden/>
              </w:rPr>
              <w:fldChar w:fldCharType="begin"/>
            </w:r>
            <w:r>
              <w:rPr>
                <w:noProof/>
                <w:webHidden/>
              </w:rPr>
              <w:instrText xml:space="preserve"> PAGEREF _Toc235624170 \h </w:instrText>
            </w:r>
            <w:r>
              <w:rPr>
                <w:noProof/>
                <w:webHidden/>
              </w:rPr>
            </w:r>
            <w:r>
              <w:rPr>
                <w:noProof/>
                <w:webHidden/>
              </w:rPr>
              <w:fldChar w:fldCharType="separate"/>
            </w:r>
            <w:r>
              <w:rPr>
                <w:noProof/>
                <w:webHidden/>
              </w:rPr>
              <w:t>2</w:t>
            </w:r>
            <w:r>
              <w:rPr>
                <w:noProof/>
                <w:webHidden/>
              </w:rPr>
              <w:fldChar w:fldCharType="end"/>
            </w:r>
          </w:hyperlink>
        </w:p>
        <w:p w14:paraId="263E07E1" w14:textId="6509100D" w:rsidR="00596328" w:rsidRDefault="00596328">
          <w:pPr>
            <w:pStyle w:val="TM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5624171" w:history="1">
            <w:r w:rsidRPr="00A07B9D">
              <w:rPr>
                <w:rStyle w:val="Lienhypertexte"/>
                <w:noProof/>
              </w:rPr>
              <w:t>Qui décide ?</w:t>
            </w:r>
            <w:r>
              <w:rPr>
                <w:noProof/>
                <w:webHidden/>
              </w:rPr>
              <w:tab/>
            </w:r>
            <w:r>
              <w:rPr>
                <w:noProof/>
                <w:webHidden/>
              </w:rPr>
              <w:fldChar w:fldCharType="begin"/>
            </w:r>
            <w:r>
              <w:rPr>
                <w:noProof/>
                <w:webHidden/>
              </w:rPr>
              <w:instrText xml:space="preserve"> PAGEREF _Toc235624171 \h </w:instrText>
            </w:r>
            <w:r>
              <w:rPr>
                <w:noProof/>
                <w:webHidden/>
              </w:rPr>
            </w:r>
            <w:r>
              <w:rPr>
                <w:noProof/>
                <w:webHidden/>
              </w:rPr>
              <w:fldChar w:fldCharType="separate"/>
            </w:r>
            <w:r>
              <w:rPr>
                <w:noProof/>
                <w:webHidden/>
              </w:rPr>
              <w:t>2</w:t>
            </w:r>
            <w:r>
              <w:rPr>
                <w:noProof/>
                <w:webHidden/>
              </w:rPr>
              <w:fldChar w:fldCharType="end"/>
            </w:r>
          </w:hyperlink>
        </w:p>
        <w:p w14:paraId="34C11B3B" w14:textId="1BF95576" w:rsidR="00596328" w:rsidRDefault="00596328">
          <w:pPr>
            <w:pStyle w:val="TM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5624172" w:history="1">
            <w:r w:rsidRPr="00A07B9D">
              <w:rPr>
                <w:rStyle w:val="Lienhypertexte"/>
                <w:noProof/>
              </w:rPr>
              <w:t>Qui peut bloquer ou faire remonter un refus ?</w:t>
            </w:r>
            <w:r>
              <w:rPr>
                <w:noProof/>
                <w:webHidden/>
              </w:rPr>
              <w:tab/>
            </w:r>
            <w:r>
              <w:rPr>
                <w:noProof/>
                <w:webHidden/>
              </w:rPr>
              <w:fldChar w:fldCharType="begin"/>
            </w:r>
            <w:r>
              <w:rPr>
                <w:noProof/>
                <w:webHidden/>
              </w:rPr>
              <w:instrText xml:space="preserve"> PAGEREF _Toc235624172 \h </w:instrText>
            </w:r>
            <w:r>
              <w:rPr>
                <w:noProof/>
                <w:webHidden/>
              </w:rPr>
            </w:r>
            <w:r>
              <w:rPr>
                <w:noProof/>
                <w:webHidden/>
              </w:rPr>
              <w:fldChar w:fldCharType="separate"/>
            </w:r>
            <w:r>
              <w:rPr>
                <w:noProof/>
                <w:webHidden/>
              </w:rPr>
              <w:t>2</w:t>
            </w:r>
            <w:r>
              <w:rPr>
                <w:noProof/>
                <w:webHidden/>
              </w:rPr>
              <w:fldChar w:fldCharType="end"/>
            </w:r>
          </w:hyperlink>
        </w:p>
        <w:p w14:paraId="6F3E6DC3" w14:textId="7150694E" w:rsidR="00596328" w:rsidRDefault="00596328">
          <w:pPr>
            <w:pStyle w:val="TM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5624173" w:history="1">
            <w:r w:rsidRPr="00A07B9D">
              <w:rPr>
                <w:rStyle w:val="Lienhypertexte"/>
                <w:noProof/>
              </w:rPr>
              <w:t>4. Outils et traçabilité</w:t>
            </w:r>
            <w:r>
              <w:rPr>
                <w:noProof/>
                <w:webHidden/>
              </w:rPr>
              <w:tab/>
            </w:r>
            <w:r>
              <w:rPr>
                <w:noProof/>
                <w:webHidden/>
              </w:rPr>
              <w:fldChar w:fldCharType="begin"/>
            </w:r>
            <w:r>
              <w:rPr>
                <w:noProof/>
                <w:webHidden/>
              </w:rPr>
              <w:instrText xml:space="preserve"> PAGEREF _Toc235624173 \h </w:instrText>
            </w:r>
            <w:r>
              <w:rPr>
                <w:noProof/>
                <w:webHidden/>
              </w:rPr>
            </w:r>
            <w:r>
              <w:rPr>
                <w:noProof/>
                <w:webHidden/>
              </w:rPr>
              <w:fldChar w:fldCharType="separate"/>
            </w:r>
            <w:r>
              <w:rPr>
                <w:noProof/>
                <w:webHidden/>
              </w:rPr>
              <w:t>2</w:t>
            </w:r>
            <w:r>
              <w:rPr>
                <w:noProof/>
                <w:webHidden/>
              </w:rPr>
              <w:fldChar w:fldCharType="end"/>
            </w:r>
          </w:hyperlink>
        </w:p>
        <w:p w14:paraId="4905CF0B" w14:textId="47FDF69B" w:rsidR="00596328" w:rsidRDefault="00596328">
          <w:pPr>
            <w:pStyle w:val="TM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5624174" w:history="1">
            <w:r w:rsidRPr="00A07B9D">
              <w:rPr>
                <w:rStyle w:val="Lienhypertexte"/>
                <w:noProof/>
              </w:rPr>
              <w:t>5. Synthèse</w:t>
            </w:r>
            <w:r>
              <w:rPr>
                <w:noProof/>
                <w:webHidden/>
              </w:rPr>
              <w:tab/>
            </w:r>
            <w:r>
              <w:rPr>
                <w:noProof/>
                <w:webHidden/>
              </w:rPr>
              <w:fldChar w:fldCharType="begin"/>
            </w:r>
            <w:r>
              <w:rPr>
                <w:noProof/>
                <w:webHidden/>
              </w:rPr>
              <w:instrText xml:space="preserve"> PAGEREF _Toc235624174 \h </w:instrText>
            </w:r>
            <w:r>
              <w:rPr>
                <w:noProof/>
                <w:webHidden/>
              </w:rPr>
            </w:r>
            <w:r>
              <w:rPr>
                <w:noProof/>
                <w:webHidden/>
              </w:rPr>
              <w:fldChar w:fldCharType="separate"/>
            </w:r>
            <w:r>
              <w:rPr>
                <w:noProof/>
                <w:webHidden/>
              </w:rPr>
              <w:t>2</w:t>
            </w:r>
            <w:r>
              <w:rPr>
                <w:noProof/>
                <w:webHidden/>
              </w:rPr>
              <w:fldChar w:fldCharType="end"/>
            </w:r>
          </w:hyperlink>
        </w:p>
        <w:p w14:paraId="12FBB8FF" w14:textId="7EE4C6EA" w:rsidR="00596328" w:rsidRDefault="00596328" w:rsidP="00596328">
          <w:r w:rsidRPr="002667E3">
            <w:rPr>
              <w:color w:val="808080" w:themeColor="background1" w:themeShade="80"/>
            </w:rPr>
            <w:fldChar w:fldCharType="end"/>
          </w:r>
        </w:p>
      </w:sdtContent>
    </w:sdt>
    <w:p w14:paraId="665D2635" w14:textId="77777777" w:rsidR="00234400" w:rsidRDefault="00000000" w:rsidP="00596328">
      <w:pPr>
        <w:pStyle w:val="Rapport-T3"/>
      </w:pPr>
      <w:bookmarkStart w:id="0" w:name="_Toc235624168"/>
      <w:r>
        <w:t>1. Objectif de l'entretien</w:t>
      </w:r>
      <w:bookmarkEnd w:id="0"/>
    </w:p>
    <w:p w14:paraId="1E8FA622" w14:textId="77777777" w:rsidR="00234400" w:rsidRDefault="00000000">
      <w:pPr>
        <w:spacing w:before="60" w:after="120"/>
        <w:jc w:val="both"/>
      </w:pPr>
      <w:r>
        <w:t xml:space="preserve">Cet entretien avait pour objectif d'identifier et de formaliser la procédure existante au sein de </w:t>
      </w:r>
      <w:proofErr w:type="spellStart"/>
      <w:r>
        <w:t>NeoLedge</w:t>
      </w:r>
      <w:proofErr w:type="spellEnd"/>
      <w:r>
        <w:t xml:space="preserve"> régissant le cycle de vie complet d'une fonctionnalité, depuis la décision de l'engager jusqu'à sa publication, en précisant pour chaque étape les services impliqués, les modalités de décision et de blocage, ainsi que les outils qui tracent formellement le processus.</w:t>
      </w:r>
    </w:p>
    <w:p w14:paraId="07E528E4" w14:textId="77777777" w:rsidR="00234400" w:rsidRDefault="00000000">
      <w:pPr>
        <w:spacing w:before="60" w:after="120"/>
        <w:jc w:val="both"/>
      </w:pPr>
      <w:r>
        <w:t>L'entretien a été mené avec Quentin Demarthe, Product Owner et maître de stage, dans le cadre de la préparation du dossier de validation RNCP 36463.</w:t>
      </w:r>
    </w:p>
    <w:p w14:paraId="7D5E71B1" w14:textId="77777777" w:rsidR="00234400" w:rsidRDefault="00000000" w:rsidP="00596328">
      <w:pPr>
        <w:pStyle w:val="Rapport-T3"/>
      </w:pPr>
      <w:bookmarkStart w:id="1" w:name="_Toc235624169"/>
      <w:r>
        <w:t xml:space="preserve">2. Le cycle de vie d'une fonctionnalité chez </w:t>
      </w:r>
      <w:proofErr w:type="spellStart"/>
      <w:r>
        <w:t>NeoLedge</w:t>
      </w:r>
      <w:bookmarkEnd w:id="1"/>
      <w:proofErr w:type="spellEnd"/>
    </w:p>
    <w:p w14:paraId="2B3C7C5A" w14:textId="77777777" w:rsidR="00234400" w:rsidRDefault="00000000">
      <w:pPr>
        <w:spacing w:before="60" w:after="120"/>
        <w:jc w:val="both"/>
      </w:pPr>
      <w:r>
        <w:t>Cinq étapes structurent le parcours d'une fonctionnalité, de son origine à sa mise à disposition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900"/>
        <w:gridCol w:w="2400"/>
        <w:gridCol w:w="2426"/>
      </w:tblGrid>
      <w:tr w:rsidR="00234400" w14:paraId="0D470BF4" w14:textId="77777777">
        <w:trPr>
          <w:tblHeader/>
        </w:trPr>
        <w:tc>
          <w:tcPr>
            <w:tcW w:w="1300" w:type="dxa"/>
            <w:tcBorders>
              <w:top w:val="single" w:sz="2" w:space="0" w:color="CBD5E1"/>
              <w:left w:val="single" w:sz="2" w:space="0" w:color="CBD5E1"/>
              <w:bottom w:val="single" w:sz="2" w:space="0" w:color="CBD5E1"/>
              <w:right w:val="single" w:sz="2" w:space="0" w:color="CBD5E1"/>
            </w:tcBorders>
            <w:shd w:val="clear" w:color="auto" w:fill="1E3A5F"/>
            <w:tcMar>
              <w:top w:w="80" w:type="dxa"/>
              <w:left w:w="100" w:type="dxa"/>
              <w:bottom w:w="80" w:type="dxa"/>
              <w:right w:w="100" w:type="dxa"/>
            </w:tcMar>
            <w:vAlign w:val="center"/>
          </w:tcPr>
          <w:p w14:paraId="4A7B55A5" w14:textId="77777777" w:rsidR="00234400" w:rsidRDefault="00000000">
            <w:r>
              <w:rPr>
                <w:b/>
                <w:bCs/>
                <w:color w:val="FFFFFF"/>
                <w:sz w:val="19"/>
                <w:szCs w:val="19"/>
              </w:rPr>
              <w:t>Étape</w:t>
            </w:r>
          </w:p>
        </w:tc>
        <w:tc>
          <w:tcPr>
            <w:tcW w:w="2900" w:type="dxa"/>
            <w:tcBorders>
              <w:top w:val="single" w:sz="2" w:space="0" w:color="CBD5E1"/>
              <w:left w:val="single" w:sz="2" w:space="0" w:color="CBD5E1"/>
              <w:bottom w:val="single" w:sz="2" w:space="0" w:color="CBD5E1"/>
              <w:right w:val="single" w:sz="2" w:space="0" w:color="CBD5E1"/>
            </w:tcBorders>
            <w:shd w:val="clear" w:color="auto" w:fill="1E3A5F"/>
            <w:tcMar>
              <w:top w:w="80" w:type="dxa"/>
              <w:left w:w="100" w:type="dxa"/>
              <w:bottom w:w="80" w:type="dxa"/>
              <w:right w:w="100" w:type="dxa"/>
            </w:tcMar>
            <w:vAlign w:val="center"/>
          </w:tcPr>
          <w:p w14:paraId="789189AF" w14:textId="77777777" w:rsidR="00234400" w:rsidRDefault="00000000">
            <w:r>
              <w:rPr>
                <w:b/>
                <w:bCs/>
                <w:color w:val="FFFFFF"/>
                <w:sz w:val="19"/>
                <w:szCs w:val="19"/>
              </w:rPr>
              <w:t>Description</w:t>
            </w:r>
          </w:p>
        </w:tc>
        <w:tc>
          <w:tcPr>
            <w:tcW w:w="2400" w:type="dxa"/>
            <w:tcBorders>
              <w:top w:val="single" w:sz="2" w:space="0" w:color="CBD5E1"/>
              <w:left w:val="single" w:sz="2" w:space="0" w:color="CBD5E1"/>
              <w:bottom w:val="single" w:sz="2" w:space="0" w:color="CBD5E1"/>
              <w:right w:val="single" w:sz="2" w:space="0" w:color="CBD5E1"/>
            </w:tcBorders>
            <w:shd w:val="clear" w:color="auto" w:fill="1E3A5F"/>
            <w:tcMar>
              <w:top w:w="80" w:type="dxa"/>
              <w:left w:w="100" w:type="dxa"/>
              <w:bottom w:w="80" w:type="dxa"/>
              <w:right w:w="100" w:type="dxa"/>
            </w:tcMar>
            <w:vAlign w:val="center"/>
          </w:tcPr>
          <w:p w14:paraId="025BEA40" w14:textId="77777777" w:rsidR="00234400" w:rsidRDefault="00000000">
            <w:r>
              <w:rPr>
                <w:b/>
                <w:bCs/>
                <w:color w:val="FFFFFF"/>
                <w:sz w:val="19"/>
                <w:szCs w:val="19"/>
              </w:rPr>
              <w:t>Services impliqués</w:t>
            </w:r>
          </w:p>
        </w:tc>
        <w:tc>
          <w:tcPr>
            <w:tcW w:w="2426" w:type="dxa"/>
            <w:tcBorders>
              <w:top w:val="single" w:sz="2" w:space="0" w:color="CBD5E1"/>
              <w:left w:val="single" w:sz="2" w:space="0" w:color="CBD5E1"/>
              <w:bottom w:val="single" w:sz="2" w:space="0" w:color="CBD5E1"/>
              <w:right w:val="single" w:sz="2" w:space="0" w:color="CBD5E1"/>
            </w:tcBorders>
            <w:shd w:val="clear" w:color="auto" w:fill="1E3A5F"/>
            <w:tcMar>
              <w:top w:w="80" w:type="dxa"/>
              <w:left w:w="100" w:type="dxa"/>
              <w:bottom w:w="80" w:type="dxa"/>
              <w:right w:w="100" w:type="dxa"/>
            </w:tcMar>
            <w:vAlign w:val="center"/>
          </w:tcPr>
          <w:p w14:paraId="1B364D7A" w14:textId="77777777" w:rsidR="00234400" w:rsidRDefault="00000000">
            <w:r>
              <w:rPr>
                <w:b/>
                <w:bCs/>
                <w:color w:val="FFFFFF"/>
                <w:sz w:val="19"/>
                <w:szCs w:val="19"/>
              </w:rPr>
              <w:t>Outils / Livrables</w:t>
            </w:r>
          </w:p>
        </w:tc>
      </w:tr>
      <w:tr w:rsidR="00234400" w14:paraId="3711D821" w14:textId="77777777">
        <w:tc>
          <w:tcPr>
            <w:tcW w:w="1300" w:type="dxa"/>
            <w:tcBorders>
              <w:top w:val="single" w:sz="2" w:space="0" w:color="CBD5E1"/>
              <w:left w:val="single" w:sz="2" w:space="0" w:color="CBD5E1"/>
              <w:bottom w:val="single" w:sz="2" w:space="0" w:color="CBD5E1"/>
              <w:right w:val="single" w:sz="2" w:space="0" w:color="CBD5E1"/>
            </w:tcBorders>
            <w:shd w:val="clear" w:color="auto" w:fill="EEF2F7"/>
            <w:tcMar>
              <w:top w:w="70" w:type="dxa"/>
              <w:left w:w="100" w:type="dxa"/>
              <w:bottom w:w="70" w:type="dxa"/>
              <w:right w:w="100" w:type="dxa"/>
            </w:tcMar>
            <w:vAlign w:val="center"/>
          </w:tcPr>
          <w:p w14:paraId="79A256D2" w14:textId="77777777" w:rsidR="00234400" w:rsidRDefault="00000000">
            <w:r>
              <w:rPr>
                <w:b/>
                <w:bCs/>
                <w:sz w:val="19"/>
                <w:szCs w:val="19"/>
              </w:rPr>
              <w:t>1. Décision</w:t>
            </w:r>
          </w:p>
        </w:tc>
        <w:tc>
          <w:tcPr>
            <w:tcW w:w="2900" w:type="dxa"/>
            <w:tcBorders>
              <w:top w:val="single" w:sz="2" w:space="0" w:color="CBD5E1"/>
              <w:left w:val="single" w:sz="2" w:space="0" w:color="CBD5E1"/>
              <w:bottom w:val="single" w:sz="2" w:space="0" w:color="CBD5E1"/>
              <w:right w:val="single" w:sz="2" w:space="0" w:color="CBD5E1"/>
            </w:tcBorders>
            <w:tcMar>
              <w:top w:w="70" w:type="dxa"/>
              <w:left w:w="100" w:type="dxa"/>
              <w:bottom w:w="70" w:type="dxa"/>
              <w:right w:w="100" w:type="dxa"/>
            </w:tcMar>
            <w:vAlign w:val="center"/>
          </w:tcPr>
          <w:p w14:paraId="63E9A58E" w14:textId="77777777" w:rsidR="00234400" w:rsidRDefault="00000000">
            <w:r>
              <w:rPr>
                <w:sz w:val="19"/>
                <w:szCs w:val="19"/>
              </w:rPr>
              <w:t>Déclenchement de l'évolution : demande client remontée par le Support ou le Commercial, besoin identifié par la Direction pour répondre à une opportunité de marché, ou suggestion portée directement par les développeurs.</w:t>
            </w:r>
          </w:p>
        </w:tc>
        <w:tc>
          <w:tcPr>
            <w:tcW w:w="2400" w:type="dxa"/>
            <w:tcBorders>
              <w:top w:val="single" w:sz="2" w:space="0" w:color="CBD5E1"/>
              <w:left w:val="single" w:sz="2" w:space="0" w:color="CBD5E1"/>
              <w:bottom w:val="single" w:sz="2" w:space="0" w:color="CBD5E1"/>
              <w:right w:val="single" w:sz="2" w:space="0" w:color="CBD5E1"/>
            </w:tcBorders>
            <w:tcMar>
              <w:top w:w="70" w:type="dxa"/>
              <w:left w:w="100" w:type="dxa"/>
              <w:bottom w:w="70" w:type="dxa"/>
              <w:right w:w="100" w:type="dxa"/>
            </w:tcMar>
            <w:vAlign w:val="center"/>
          </w:tcPr>
          <w:p w14:paraId="15812EC0" w14:textId="77777777" w:rsidR="00234400" w:rsidRDefault="00000000">
            <w:r>
              <w:rPr>
                <w:sz w:val="19"/>
                <w:szCs w:val="19"/>
              </w:rPr>
              <w:t>Support, Commercial, Direction, Développeurs</w:t>
            </w:r>
          </w:p>
        </w:tc>
        <w:tc>
          <w:tcPr>
            <w:tcW w:w="2426" w:type="dxa"/>
            <w:tcBorders>
              <w:top w:val="single" w:sz="2" w:space="0" w:color="CBD5E1"/>
              <w:left w:val="single" w:sz="2" w:space="0" w:color="CBD5E1"/>
              <w:bottom w:val="single" w:sz="2" w:space="0" w:color="CBD5E1"/>
              <w:right w:val="single" w:sz="2" w:space="0" w:color="CBD5E1"/>
            </w:tcBorders>
            <w:tcMar>
              <w:top w:w="70" w:type="dxa"/>
              <w:left w:w="100" w:type="dxa"/>
              <w:bottom w:w="70" w:type="dxa"/>
              <w:right w:w="100" w:type="dxa"/>
            </w:tcMar>
            <w:vAlign w:val="center"/>
          </w:tcPr>
          <w:p w14:paraId="17EB4063" w14:textId="77777777" w:rsidR="00234400" w:rsidRDefault="00000000">
            <w:r>
              <w:rPr>
                <w:sz w:val="19"/>
                <w:szCs w:val="19"/>
              </w:rPr>
              <w:t>Tickets Support, échanges Commercial/Direction</w:t>
            </w:r>
          </w:p>
        </w:tc>
      </w:tr>
      <w:tr w:rsidR="00234400" w14:paraId="72DBA847" w14:textId="77777777">
        <w:tc>
          <w:tcPr>
            <w:tcW w:w="1300" w:type="dxa"/>
            <w:tcBorders>
              <w:top w:val="single" w:sz="2" w:space="0" w:color="CBD5E1"/>
              <w:left w:val="single" w:sz="2" w:space="0" w:color="CBD5E1"/>
              <w:bottom w:val="single" w:sz="2" w:space="0" w:color="CBD5E1"/>
              <w:right w:val="single" w:sz="2" w:space="0" w:color="CBD5E1"/>
            </w:tcBorders>
            <w:shd w:val="clear" w:color="auto" w:fill="EEF2F7"/>
            <w:tcMar>
              <w:top w:w="70" w:type="dxa"/>
              <w:left w:w="100" w:type="dxa"/>
              <w:bottom w:w="70" w:type="dxa"/>
              <w:right w:w="100" w:type="dxa"/>
            </w:tcMar>
            <w:vAlign w:val="center"/>
          </w:tcPr>
          <w:p w14:paraId="429D2C60" w14:textId="77777777" w:rsidR="00234400" w:rsidRDefault="00000000">
            <w:r>
              <w:rPr>
                <w:b/>
                <w:bCs/>
                <w:sz w:val="19"/>
                <w:szCs w:val="19"/>
              </w:rPr>
              <w:t>2. Étude de marché</w:t>
            </w:r>
          </w:p>
        </w:tc>
        <w:tc>
          <w:tcPr>
            <w:tcW w:w="2900" w:type="dxa"/>
            <w:tcBorders>
              <w:top w:val="single" w:sz="2" w:space="0" w:color="CBD5E1"/>
              <w:left w:val="single" w:sz="2" w:space="0" w:color="CBD5E1"/>
              <w:bottom w:val="single" w:sz="2" w:space="0" w:color="CBD5E1"/>
              <w:right w:val="single" w:sz="2" w:space="0" w:color="CBD5E1"/>
            </w:tcBorders>
            <w:tcMar>
              <w:top w:w="70" w:type="dxa"/>
              <w:left w:w="100" w:type="dxa"/>
              <w:bottom w:w="70" w:type="dxa"/>
              <w:right w:w="100" w:type="dxa"/>
            </w:tcMar>
            <w:vAlign w:val="center"/>
          </w:tcPr>
          <w:p w14:paraId="22BC362B" w14:textId="77777777" w:rsidR="00234400" w:rsidRDefault="00000000">
            <w:r>
              <w:rPr>
                <w:sz w:val="19"/>
                <w:szCs w:val="19"/>
              </w:rPr>
              <w:t>Validation de l'opportunité et du besoin réel avant d'engager des ressources de conception.</w:t>
            </w:r>
          </w:p>
        </w:tc>
        <w:tc>
          <w:tcPr>
            <w:tcW w:w="2400" w:type="dxa"/>
            <w:tcBorders>
              <w:top w:val="single" w:sz="2" w:space="0" w:color="CBD5E1"/>
              <w:left w:val="single" w:sz="2" w:space="0" w:color="CBD5E1"/>
              <w:bottom w:val="single" w:sz="2" w:space="0" w:color="CBD5E1"/>
              <w:right w:val="single" w:sz="2" w:space="0" w:color="CBD5E1"/>
            </w:tcBorders>
            <w:tcMar>
              <w:top w:w="70" w:type="dxa"/>
              <w:left w:w="100" w:type="dxa"/>
              <w:bottom w:w="70" w:type="dxa"/>
              <w:right w:w="100" w:type="dxa"/>
            </w:tcMar>
            <w:vAlign w:val="center"/>
          </w:tcPr>
          <w:p w14:paraId="2976DA8D" w14:textId="77777777" w:rsidR="00234400" w:rsidRDefault="00000000">
            <w:r>
              <w:rPr>
                <w:sz w:val="19"/>
                <w:szCs w:val="19"/>
              </w:rPr>
              <w:t>Direction, Commercial</w:t>
            </w:r>
          </w:p>
        </w:tc>
        <w:tc>
          <w:tcPr>
            <w:tcW w:w="2426" w:type="dxa"/>
            <w:tcBorders>
              <w:top w:val="single" w:sz="2" w:space="0" w:color="CBD5E1"/>
              <w:left w:val="single" w:sz="2" w:space="0" w:color="CBD5E1"/>
              <w:bottom w:val="single" w:sz="2" w:space="0" w:color="CBD5E1"/>
              <w:right w:val="single" w:sz="2" w:space="0" w:color="CBD5E1"/>
            </w:tcBorders>
            <w:tcMar>
              <w:top w:w="70" w:type="dxa"/>
              <w:left w:w="100" w:type="dxa"/>
              <w:bottom w:w="70" w:type="dxa"/>
              <w:right w:w="100" w:type="dxa"/>
            </w:tcMar>
            <w:vAlign w:val="center"/>
          </w:tcPr>
          <w:p w14:paraId="4FAB1F46" w14:textId="77777777" w:rsidR="00234400" w:rsidRDefault="00000000">
            <w:r>
              <w:rPr>
                <w:sz w:val="19"/>
                <w:szCs w:val="19"/>
              </w:rPr>
              <w:t>Analyse de marché, retours clients consolidés</w:t>
            </w:r>
          </w:p>
        </w:tc>
      </w:tr>
      <w:tr w:rsidR="00234400" w14:paraId="2C200C7C" w14:textId="77777777">
        <w:tc>
          <w:tcPr>
            <w:tcW w:w="1300" w:type="dxa"/>
            <w:tcBorders>
              <w:top w:val="single" w:sz="2" w:space="0" w:color="CBD5E1"/>
              <w:left w:val="single" w:sz="2" w:space="0" w:color="CBD5E1"/>
              <w:bottom w:val="single" w:sz="2" w:space="0" w:color="CBD5E1"/>
              <w:right w:val="single" w:sz="2" w:space="0" w:color="CBD5E1"/>
            </w:tcBorders>
            <w:shd w:val="clear" w:color="auto" w:fill="EEF2F7"/>
            <w:tcMar>
              <w:top w:w="70" w:type="dxa"/>
              <w:left w:w="100" w:type="dxa"/>
              <w:bottom w:w="70" w:type="dxa"/>
              <w:right w:w="100" w:type="dxa"/>
            </w:tcMar>
            <w:vAlign w:val="center"/>
          </w:tcPr>
          <w:p w14:paraId="6FD3A28D" w14:textId="77777777" w:rsidR="00234400" w:rsidRDefault="00000000">
            <w:r>
              <w:rPr>
                <w:b/>
                <w:bCs/>
                <w:sz w:val="19"/>
                <w:szCs w:val="19"/>
              </w:rPr>
              <w:t>3. Conception</w:t>
            </w:r>
          </w:p>
        </w:tc>
        <w:tc>
          <w:tcPr>
            <w:tcW w:w="2900" w:type="dxa"/>
            <w:tcBorders>
              <w:top w:val="single" w:sz="2" w:space="0" w:color="CBD5E1"/>
              <w:left w:val="single" w:sz="2" w:space="0" w:color="CBD5E1"/>
              <w:bottom w:val="single" w:sz="2" w:space="0" w:color="CBD5E1"/>
              <w:right w:val="single" w:sz="2" w:space="0" w:color="CBD5E1"/>
            </w:tcBorders>
            <w:tcMar>
              <w:top w:w="70" w:type="dxa"/>
              <w:left w:w="100" w:type="dxa"/>
              <w:bottom w:w="70" w:type="dxa"/>
              <w:right w:w="100" w:type="dxa"/>
            </w:tcMar>
            <w:vAlign w:val="center"/>
          </w:tcPr>
          <w:p w14:paraId="250FF7AE" w14:textId="77777777" w:rsidR="00234400" w:rsidRDefault="00000000">
            <w:r>
              <w:rPr>
                <w:sz w:val="19"/>
                <w:szCs w:val="19"/>
              </w:rPr>
              <w:t>Traduction du besoin en solution : maquettes et parcours UI, puis développement technique.</w:t>
            </w:r>
          </w:p>
        </w:tc>
        <w:tc>
          <w:tcPr>
            <w:tcW w:w="2400" w:type="dxa"/>
            <w:tcBorders>
              <w:top w:val="single" w:sz="2" w:space="0" w:color="CBD5E1"/>
              <w:left w:val="single" w:sz="2" w:space="0" w:color="CBD5E1"/>
              <w:bottom w:val="single" w:sz="2" w:space="0" w:color="CBD5E1"/>
              <w:right w:val="single" w:sz="2" w:space="0" w:color="CBD5E1"/>
            </w:tcBorders>
            <w:tcMar>
              <w:top w:w="70" w:type="dxa"/>
              <w:left w:w="100" w:type="dxa"/>
              <w:bottom w:w="70" w:type="dxa"/>
              <w:right w:w="100" w:type="dxa"/>
            </w:tcMar>
            <w:vAlign w:val="center"/>
          </w:tcPr>
          <w:p w14:paraId="709D9CCF" w14:textId="77777777" w:rsidR="00234400" w:rsidRDefault="00000000">
            <w:r>
              <w:rPr>
                <w:sz w:val="19"/>
                <w:szCs w:val="19"/>
              </w:rPr>
              <w:t>Pôle Produit (UI/UX, Développeurs)</w:t>
            </w:r>
          </w:p>
        </w:tc>
        <w:tc>
          <w:tcPr>
            <w:tcW w:w="2426" w:type="dxa"/>
            <w:tcBorders>
              <w:top w:val="single" w:sz="2" w:space="0" w:color="CBD5E1"/>
              <w:left w:val="single" w:sz="2" w:space="0" w:color="CBD5E1"/>
              <w:bottom w:val="single" w:sz="2" w:space="0" w:color="CBD5E1"/>
              <w:right w:val="single" w:sz="2" w:space="0" w:color="CBD5E1"/>
            </w:tcBorders>
            <w:tcMar>
              <w:top w:w="70" w:type="dxa"/>
              <w:left w:w="100" w:type="dxa"/>
              <w:bottom w:w="70" w:type="dxa"/>
              <w:right w:w="100" w:type="dxa"/>
            </w:tcMar>
            <w:vAlign w:val="center"/>
          </w:tcPr>
          <w:p w14:paraId="69959FCB" w14:textId="77777777" w:rsidR="00234400" w:rsidRDefault="00000000">
            <w:r>
              <w:rPr>
                <w:sz w:val="19"/>
                <w:szCs w:val="19"/>
              </w:rPr>
              <w:t xml:space="preserve">Maquettes, </w:t>
            </w:r>
            <w:proofErr w:type="spellStart"/>
            <w:r>
              <w:rPr>
                <w:sz w:val="19"/>
                <w:szCs w:val="19"/>
              </w:rPr>
              <w:t>backlog</w:t>
            </w:r>
            <w:proofErr w:type="spellEnd"/>
            <w:r>
              <w:rPr>
                <w:sz w:val="19"/>
                <w:szCs w:val="19"/>
              </w:rPr>
              <w:t xml:space="preserve"> Azure DevOps (BPI)</w:t>
            </w:r>
          </w:p>
        </w:tc>
      </w:tr>
      <w:tr w:rsidR="00234400" w14:paraId="5E0BA702" w14:textId="77777777">
        <w:tc>
          <w:tcPr>
            <w:tcW w:w="1300" w:type="dxa"/>
            <w:tcBorders>
              <w:top w:val="single" w:sz="2" w:space="0" w:color="CBD5E1"/>
              <w:left w:val="single" w:sz="2" w:space="0" w:color="CBD5E1"/>
              <w:bottom w:val="single" w:sz="2" w:space="0" w:color="CBD5E1"/>
              <w:right w:val="single" w:sz="2" w:space="0" w:color="CBD5E1"/>
            </w:tcBorders>
            <w:shd w:val="clear" w:color="auto" w:fill="EEF2F7"/>
            <w:tcMar>
              <w:top w:w="70" w:type="dxa"/>
              <w:left w:w="100" w:type="dxa"/>
              <w:bottom w:w="70" w:type="dxa"/>
              <w:right w:w="100" w:type="dxa"/>
            </w:tcMar>
            <w:vAlign w:val="center"/>
          </w:tcPr>
          <w:p w14:paraId="648BAD70" w14:textId="77777777" w:rsidR="00234400" w:rsidRDefault="00000000">
            <w:r>
              <w:rPr>
                <w:b/>
                <w:bCs/>
                <w:sz w:val="19"/>
                <w:szCs w:val="19"/>
              </w:rPr>
              <w:t>4. Vérification</w:t>
            </w:r>
          </w:p>
        </w:tc>
        <w:tc>
          <w:tcPr>
            <w:tcW w:w="2900" w:type="dxa"/>
            <w:tcBorders>
              <w:top w:val="single" w:sz="2" w:space="0" w:color="CBD5E1"/>
              <w:left w:val="single" w:sz="2" w:space="0" w:color="CBD5E1"/>
              <w:bottom w:val="single" w:sz="2" w:space="0" w:color="CBD5E1"/>
              <w:right w:val="single" w:sz="2" w:space="0" w:color="CBD5E1"/>
            </w:tcBorders>
            <w:tcMar>
              <w:top w:w="70" w:type="dxa"/>
              <w:left w:w="100" w:type="dxa"/>
              <w:bottom w:w="70" w:type="dxa"/>
              <w:right w:w="100" w:type="dxa"/>
            </w:tcMar>
            <w:vAlign w:val="center"/>
          </w:tcPr>
          <w:p w14:paraId="5D898AF6" w14:textId="77777777" w:rsidR="00234400" w:rsidRDefault="00000000">
            <w:r>
              <w:rPr>
                <w:sz w:val="19"/>
                <w:szCs w:val="19"/>
              </w:rPr>
              <w:t>Recette fonctionnelle et technique avant diffusion.</w:t>
            </w:r>
          </w:p>
        </w:tc>
        <w:tc>
          <w:tcPr>
            <w:tcW w:w="2400" w:type="dxa"/>
            <w:tcBorders>
              <w:top w:val="single" w:sz="2" w:space="0" w:color="CBD5E1"/>
              <w:left w:val="single" w:sz="2" w:space="0" w:color="CBD5E1"/>
              <w:bottom w:val="single" w:sz="2" w:space="0" w:color="CBD5E1"/>
              <w:right w:val="single" w:sz="2" w:space="0" w:color="CBD5E1"/>
            </w:tcBorders>
            <w:tcMar>
              <w:top w:w="70" w:type="dxa"/>
              <w:left w:w="100" w:type="dxa"/>
              <w:bottom w:w="70" w:type="dxa"/>
              <w:right w:w="100" w:type="dxa"/>
            </w:tcMar>
            <w:vAlign w:val="center"/>
          </w:tcPr>
          <w:p w14:paraId="00A4E114" w14:textId="77777777" w:rsidR="00234400" w:rsidRDefault="00000000">
            <w:r>
              <w:rPr>
                <w:sz w:val="19"/>
                <w:szCs w:val="19"/>
              </w:rPr>
              <w:t>Développeurs, Product Owner</w:t>
            </w:r>
          </w:p>
        </w:tc>
        <w:tc>
          <w:tcPr>
            <w:tcW w:w="2426" w:type="dxa"/>
            <w:tcBorders>
              <w:top w:val="single" w:sz="2" w:space="0" w:color="CBD5E1"/>
              <w:left w:val="single" w:sz="2" w:space="0" w:color="CBD5E1"/>
              <w:bottom w:val="single" w:sz="2" w:space="0" w:color="CBD5E1"/>
              <w:right w:val="single" w:sz="2" w:space="0" w:color="CBD5E1"/>
            </w:tcBorders>
            <w:tcMar>
              <w:top w:w="70" w:type="dxa"/>
              <w:left w:w="100" w:type="dxa"/>
              <w:bottom w:w="70" w:type="dxa"/>
              <w:right w:w="100" w:type="dxa"/>
            </w:tcMar>
            <w:vAlign w:val="center"/>
          </w:tcPr>
          <w:p w14:paraId="505B6A59" w14:textId="77777777" w:rsidR="00234400" w:rsidRDefault="00000000">
            <w:r>
              <w:rPr>
                <w:sz w:val="19"/>
                <w:szCs w:val="19"/>
              </w:rPr>
              <w:t>Plan de recette, tickets de suivi</w:t>
            </w:r>
          </w:p>
        </w:tc>
      </w:tr>
      <w:tr w:rsidR="00234400" w14:paraId="1F9CE658" w14:textId="77777777">
        <w:tc>
          <w:tcPr>
            <w:tcW w:w="1300" w:type="dxa"/>
            <w:tcBorders>
              <w:top w:val="single" w:sz="2" w:space="0" w:color="CBD5E1"/>
              <w:left w:val="single" w:sz="2" w:space="0" w:color="CBD5E1"/>
              <w:bottom w:val="single" w:sz="2" w:space="0" w:color="CBD5E1"/>
              <w:right w:val="single" w:sz="2" w:space="0" w:color="CBD5E1"/>
            </w:tcBorders>
            <w:shd w:val="clear" w:color="auto" w:fill="EEF2F7"/>
            <w:tcMar>
              <w:top w:w="70" w:type="dxa"/>
              <w:left w:w="100" w:type="dxa"/>
              <w:bottom w:w="70" w:type="dxa"/>
              <w:right w:w="100" w:type="dxa"/>
            </w:tcMar>
            <w:vAlign w:val="center"/>
          </w:tcPr>
          <w:p w14:paraId="0012D265" w14:textId="77777777" w:rsidR="00234400" w:rsidRDefault="00000000">
            <w:r>
              <w:rPr>
                <w:b/>
                <w:bCs/>
                <w:sz w:val="19"/>
                <w:szCs w:val="19"/>
              </w:rPr>
              <w:lastRenderedPageBreak/>
              <w:t>5. Publication</w:t>
            </w:r>
          </w:p>
        </w:tc>
        <w:tc>
          <w:tcPr>
            <w:tcW w:w="2900" w:type="dxa"/>
            <w:tcBorders>
              <w:top w:val="single" w:sz="2" w:space="0" w:color="CBD5E1"/>
              <w:left w:val="single" w:sz="2" w:space="0" w:color="CBD5E1"/>
              <w:bottom w:val="single" w:sz="2" w:space="0" w:color="CBD5E1"/>
              <w:right w:val="single" w:sz="2" w:space="0" w:color="CBD5E1"/>
            </w:tcBorders>
            <w:tcMar>
              <w:top w:w="70" w:type="dxa"/>
              <w:left w:w="100" w:type="dxa"/>
              <w:bottom w:w="70" w:type="dxa"/>
              <w:right w:w="100" w:type="dxa"/>
            </w:tcMar>
            <w:vAlign w:val="center"/>
          </w:tcPr>
          <w:p w14:paraId="6D1E17EC" w14:textId="77777777" w:rsidR="00234400" w:rsidRDefault="00000000">
            <w:r>
              <w:rPr>
                <w:sz w:val="19"/>
                <w:szCs w:val="19"/>
              </w:rPr>
              <w:t>Mise à disposition de la fonctionnalité et diffusion de l'information aux équipes.</w:t>
            </w:r>
          </w:p>
        </w:tc>
        <w:tc>
          <w:tcPr>
            <w:tcW w:w="2400" w:type="dxa"/>
            <w:tcBorders>
              <w:top w:val="single" w:sz="2" w:space="0" w:color="CBD5E1"/>
              <w:left w:val="single" w:sz="2" w:space="0" w:color="CBD5E1"/>
              <w:bottom w:val="single" w:sz="2" w:space="0" w:color="CBD5E1"/>
              <w:right w:val="single" w:sz="2" w:space="0" w:color="CBD5E1"/>
            </w:tcBorders>
            <w:tcMar>
              <w:top w:w="70" w:type="dxa"/>
              <w:left w:w="100" w:type="dxa"/>
              <w:bottom w:w="70" w:type="dxa"/>
              <w:right w:w="100" w:type="dxa"/>
            </w:tcMar>
            <w:vAlign w:val="center"/>
          </w:tcPr>
          <w:p w14:paraId="3688B185" w14:textId="77777777" w:rsidR="00234400" w:rsidRDefault="00000000">
            <w:r>
              <w:rPr>
                <w:sz w:val="19"/>
                <w:szCs w:val="19"/>
              </w:rPr>
              <w:t>Direction, Pôle Produit, Support</w:t>
            </w:r>
          </w:p>
        </w:tc>
        <w:tc>
          <w:tcPr>
            <w:tcW w:w="2426" w:type="dxa"/>
            <w:tcBorders>
              <w:top w:val="single" w:sz="2" w:space="0" w:color="CBD5E1"/>
              <w:left w:val="single" w:sz="2" w:space="0" w:color="CBD5E1"/>
              <w:bottom w:val="single" w:sz="2" w:space="0" w:color="CBD5E1"/>
              <w:right w:val="single" w:sz="2" w:space="0" w:color="CBD5E1"/>
            </w:tcBorders>
            <w:tcMar>
              <w:top w:w="70" w:type="dxa"/>
              <w:left w:w="100" w:type="dxa"/>
              <w:bottom w:w="70" w:type="dxa"/>
              <w:right w:w="100" w:type="dxa"/>
            </w:tcMar>
            <w:vAlign w:val="center"/>
          </w:tcPr>
          <w:p w14:paraId="350F1B73" w14:textId="77777777" w:rsidR="00234400" w:rsidRDefault="00000000">
            <w:r>
              <w:rPr>
                <w:sz w:val="19"/>
                <w:szCs w:val="19"/>
              </w:rPr>
              <w:t>Roadmap partagée, notes de version</w:t>
            </w:r>
          </w:p>
        </w:tc>
      </w:tr>
    </w:tbl>
    <w:p w14:paraId="613D7018" w14:textId="77777777" w:rsidR="00234400" w:rsidRDefault="00000000" w:rsidP="00596328">
      <w:pPr>
        <w:pStyle w:val="Rapport-T3"/>
      </w:pPr>
      <w:bookmarkStart w:id="2" w:name="_Toc235624170"/>
      <w:r>
        <w:t>3. La prise de décision</w:t>
      </w:r>
      <w:bookmarkEnd w:id="2"/>
    </w:p>
    <w:p w14:paraId="0D02366B" w14:textId="77777777" w:rsidR="00234400" w:rsidRDefault="00000000" w:rsidP="00596328">
      <w:pPr>
        <w:pStyle w:val="Rapport-T4"/>
      </w:pPr>
      <w:bookmarkStart w:id="3" w:name="_Toc235624171"/>
      <w:r>
        <w:t>Qui décide ?</w:t>
      </w:r>
      <w:bookmarkEnd w:id="3"/>
    </w:p>
    <w:p w14:paraId="28EE575A" w14:textId="77777777" w:rsidR="00234400" w:rsidRDefault="00000000">
      <w:pPr>
        <w:spacing w:before="60" w:after="120"/>
        <w:jc w:val="both"/>
      </w:pPr>
      <w:r>
        <w:t xml:space="preserve">La Direction de </w:t>
      </w:r>
      <w:proofErr w:type="spellStart"/>
      <w:r>
        <w:t>NeoLedge</w:t>
      </w:r>
      <w:proofErr w:type="spellEnd"/>
      <w:r>
        <w:t xml:space="preserve"> conserve l'arbitrage final sur l'engagement d'une évolution. Cette décision n'est toutefois jamais prise de manière isolée : elle résulte avant tout d'un échange collectif impliquant l'ensemble des services concernés — Commercial (porteur des demandes clients), Support (relais des irritants récurrents), et Développeurs (porteurs de suggestions techniques ou d'opportunités d'amélioration).</w:t>
      </w:r>
    </w:p>
    <w:p w14:paraId="5A99DF2D" w14:textId="77777777" w:rsidR="00234400" w:rsidRDefault="00000000" w:rsidP="00596328">
      <w:pPr>
        <w:pStyle w:val="Rapport-T4"/>
      </w:pPr>
      <w:bookmarkStart w:id="4" w:name="_Toc235624172"/>
      <w:r>
        <w:t>Qui peut bloquer ou faire remonter un refus ?</w:t>
      </w:r>
      <w:bookmarkEnd w:id="4"/>
    </w:p>
    <w:p w14:paraId="5C13A620" w14:textId="77777777" w:rsidR="00234400" w:rsidRDefault="00000000">
      <w:pPr>
        <w:spacing w:before="60" w:after="120"/>
        <w:jc w:val="both"/>
      </w:pPr>
      <w:r>
        <w:t>Chaque service impliqué dans la chaîne peut faire remonter un point bloquant avant qu'une décision ne soit actée ou qu'une fonctionnalité ne passe à l'étape suivante : une contrainte de faisabilité technique côté développeurs, une limite ergonomique côté UI/UX, ou un signal négatif remonté par le Support ou le Commercial depuis le terrain client. La Direction arbitre en dernier ressort en tenant compte de ces remontées, plutôt que d'imposer une décision descendante déconnectée du terrain.</w:t>
      </w:r>
    </w:p>
    <w:p w14:paraId="78D8FF3A" w14:textId="77777777" w:rsidR="00234400" w:rsidRDefault="00000000" w:rsidP="00596328">
      <w:pPr>
        <w:pStyle w:val="Rapport-T3"/>
      </w:pPr>
      <w:bookmarkStart w:id="5" w:name="_Toc235624173"/>
      <w:r>
        <w:t>4. Outils et traçabilité</w:t>
      </w:r>
      <w:bookmarkEnd w:id="5"/>
    </w:p>
    <w:p w14:paraId="37C43999" w14:textId="77777777" w:rsidR="00234400" w:rsidRDefault="00000000">
      <w:pPr>
        <w:spacing w:before="60" w:after="120"/>
        <w:jc w:val="both"/>
      </w:pPr>
      <w:r>
        <w:t>Chaque étape du cycle s'appuie sur un outil dédié qui formalise la procédure et la rend traçable pour l'ensemble des équipes :</w:t>
      </w:r>
    </w:p>
    <w:p w14:paraId="7DE28137" w14:textId="77777777" w:rsidR="00234400" w:rsidRDefault="00000000">
      <w:pPr>
        <w:spacing w:before="60" w:after="120"/>
        <w:jc w:val="both"/>
      </w:pPr>
      <w:r>
        <w:t>Jira (ou équivalent) : gestion des tickets, notamment pour le Support qui trace les anomalies et demandes remontées par les clients.</w:t>
      </w:r>
    </w:p>
    <w:p w14:paraId="758404A0" w14:textId="77777777" w:rsidR="00234400" w:rsidRDefault="00000000">
      <w:pPr>
        <w:spacing w:before="60" w:after="120"/>
        <w:jc w:val="both"/>
      </w:pPr>
      <w:r>
        <w:t xml:space="preserve">Azure DevOps (BPI) : pilotage du </w:t>
      </w:r>
      <w:proofErr w:type="spellStart"/>
      <w:r>
        <w:t>backlog</w:t>
      </w:r>
      <w:proofErr w:type="spellEnd"/>
      <w:r>
        <w:t xml:space="preserve"> produit et suivi de la conception technique.</w:t>
      </w:r>
    </w:p>
    <w:p w14:paraId="64B272D2" w14:textId="77777777" w:rsidR="00234400" w:rsidRDefault="00000000">
      <w:pPr>
        <w:spacing w:before="60" w:after="120"/>
        <w:jc w:val="both"/>
      </w:pPr>
      <w:r>
        <w:t>Roadmap partagée : diffusion des décisions et des priorités à l'ensemble des équipes, garantissant une visibilité même pour les services qui n'interviennent pas directement à chaque étape.</w:t>
      </w:r>
    </w:p>
    <w:p w14:paraId="2CEBD681" w14:textId="77777777" w:rsidR="00234400" w:rsidRDefault="00000000" w:rsidP="00596328">
      <w:pPr>
        <w:pStyle w:val="Rapport-T3"/>
      </w:pPr>
      <w:bookmarkStart w:id="6" w:name="_Toc235624174"/>
      <w:r>
        <w:t>5. Synthèse</w:t>
      </w:r>
      <w:bookmarkEnd w:id="6"/>
    </w:p>
    <w:p w14:paraId="6E90E223" w14:textId="77777777" w:rsidR="00234400" w:rsidRDefault="00000000">
      <w:pPr>
        <w:spacing w:before="60" w:after="120"/>
        <w:jc w:val="both"/>
      </w:pPr>
      <w:r>
        <w:t>Cet entretien met en évidence une procédure de décision volontairement collégiale malgré un arbitrage final centralisé à la Direction, et une traçabilité assurée de bout en bout par des outils numériques partagés entre les services. Cette formalisation permet de situer précisément la place du Pôle Produit — et donc de mon activité de développement de POC — au sein d'un processus d'entreprise plus large impliquant Commercial, Support et Direction.</w:t>
      </w:r>
    </w:p>
    <w:sectPr w:rsidR="00234400">
      <w:headerReference w:type="default" r:id="rId7"/>
      <w:footerReference w:type="default" r:id="rId8"/>
      <w:pgSz w:w="11906" w:h="16838"/>
      <w:pgMar w:top="1134" w:right="1440" w:bottom="1134"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9DAAFE" w14:textId="77777777" w:rsidR="00A14B3D" w:rsidRDefault="00A14B3D" w:rsidP="00596328">
      <w:r>
        <w:separator/>
      </w:r>
    </w:p>
  </w:endnote>
  <w:endnote w:type="continuationSeparator" w:id="0">
    <w:p w14:paraId="72F4A211" w14:textId="77777777" w:rsidR="00A14B3D" w:rsidRDefault="00A14B3D" w:rsidP="005963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F34E3" w14:textId="21C13D39" w:rsidR="00F33CF3" w:rsidRDefault="00F33CF3" w:rsidP="00F33CF3">
    <w:pPr>
      <w:jc w:val="center"/>
    </w:pPr>
    <w:r w:rsidRPr="00284410">
      <w:rPr>
        <w:i/>
        <w:iCs/>
        <w:color w:val="808080" w:themeColor="background1" w:themeShade="80"/>
        <w:sz w:val="16"/>
        <w:szCs w:val="16"/>
      </w:rPr>
      <w:t>Julien Gournay</w:t>
    </w:r>
    <w:r w:rsidRPr="00284410">
      <w:rPr>
        <w:color w:val="595959"/>
        <w:sz w:val="16"/>
        <w:szCs w:val="16"/>
      </w:rPr>
      <w:ptab w:relativeTo="margin" w:alignment="center" w:leader="none"/>
    </w:r>
    <w:r w:rsidRPr="00555C42">
      <w:rPr>
        <w:i/>
        <w:iCs/>
        <w:color w:val="808080" w:themeColor="background1" w:themeShade="80"/>
        <w:sz w:val="16"/>
        <w:szCs w:val="16"/>
      </w:rPr>
      <w:t>Dossier de Validation RNCP</w:t>
    </w:r>
    <w:r>
      <w:rPr>
        <w:color w:val="666666"/>
        <w:sz w:val="18"/>
        <w:szCs w:val="18"/>
      </w:rPr>
      <w:t xml:space="preserve"> </w:t>
    </w:r>
    <w:r w:rsidRPr="00555C42">
      <w:rPr>
        <w:i/>
        <w:iCs/>
        <w:color w:val="808080" w:themeColor="background1" w:themeShade="80"/>
        <w:sz w:val="16"/>
        <w:szCs w:val="16"/>
      </w:rPr>
      <w:t>36463</w:t>
    </w:r>
    <w:r w:rsidRPr="00284410">
      <w:rPr>
        <w:color w:val="595959"/>
        <w:sz w:val="16"/>
        <w:szCs w:val="16"/>
      </w:rPr>
      <w:ptab w:relativeTo="margin" w:alignment="right" w:leader="none"/>
    </w:r>
    <w:r w:rsidRPr="00284410">
      <w:rPr>
        <w:color w:val="595959"/>
        <w:sz w:val="16"/>
        <w:szCs w:val="16"/>
      </w:rPr>
      <w:fldChar w:fldCharType="begin"/>
    </w:r>
    <w:r w:rsidRPr="00284410">
      <w:rPr>
        <w:color w:val="595959"/>
        <w:sz w:val="16"/>
        <w:szCs w:val="16"/>
      </w:rPr>
      <w:instrText>PAGE   \* MERGEFORMAT</w:instrText>
    </w:r>
    <w:r w:rsidRPr="00284410">
      <w:rPr>
        <w:color w:val="595959"/>
        <w:sz w:val="16"/>
        <w:szCs w:val="16"/>
      </w:rPr>
      <w:fldChar w:fldCharType="separate"/>
    </w:r>
    <w:r>
      <w:rPr>
        <w:color w:val="595959"/>
        <w:sz w:val="16"/>
        <w:szCs w:val="16"/>
      </w:rPr>
      <w:t>1</w:t>
    </w:r>
    <w:r w:rsidRPr="00284410">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0C49F3" w14:textId="77777777" w:rsidR="00A14B3D" w:rsidRDefault="00A14B3D" w:rsidP="00596328">
      <w:r>
        <w:separator/>
      </w:r>
    </w:p>
  </w:footnote>
  <w:footnote w:type="continuationSeparator" w:id="0">
    <w:p w14:paraId="20D01EA0" w14:textId="77777777" w:rsidR="00A14B3D" w:rsidRDefault="00A14B3D" w:rsidP="005963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AAEEA" w14:textId="3785141C" w:rsidR="00596328" w:rsidRPr="00596328" w:rsidRDefault="00596328">
    <w:pPr>
      <w:pStyle w:val="En-tte"/>
      <w:rPr>
        <w:i/>
        <w:iCs/>
        <w:color w:val="808080" w:themeColor="background1" w:themeShade="80"/>
        <w:sz w:val="16"/>
        <w:szCs w:val="16"/>
      </w:rPr>
    </w:pPr>
    <w:r w:rsidRPr="00CA1E65">
      <w:rPr>
        <w:i/>
        <w:iCs/>
        <w:color w:val="808080" w:themeColor="background1" w:themeShade="80"/>
        <w:sz w:val="16"/>
        <w:szCs w:val="16"/>
      </w:rPr>
      <w:t>Annexe A1</w:t>
    </w:r>
    <w:r>
      <w:rPr>
        <w:i/>
        <w:iCs/>
        <w:color w:val="808080" w:themeColor="background1" w:themeShade="80"/>
        <w:sz w:val="16"/>
        <w:szCs w:val="16"/>
      </w:rPr>
      <w:t>5</w:t>
    </w:r>
    <w:r w:rsidRPr="00CA1E65">
      <w:rPr>
        <w:i/>
        <w:iCs/>
        <w:color w:val="808080" w:themeColor="background1" w:themeShade="80"/>
        <w:sz w:val="16"/>
        <w:szCs w:val="16"/>
      </w:rPr>
      <w:t xml:space="preserve"> - POC Signature Editor </w:t>
    </w:r>
    <w:r>
      <w:rPr>
        <w:i/>
        <w:iCs/>
        <w:color w:val="808080" w:themeColor="background1" w:themeShade="80"/>
        <w:sz w:val="16"/>
        <w:szCs w:val="16"/>
      </w:rPr>
      <w:t>–</w:t>
    </w:r>
    <w:r w:rsidRPr="00CA1E65">
      <w:rPr>
        <w:i/>
        <w:iCs/>
        <w:color w:val="808080" w:themeColor="background1" w:themeShade="80"/>
        <w:sz w:val="16"/>
        <w:szCs w:val="16"/>
      </w:rPr>
      <w:t xml:space="preserve"> </w:t>
    </w:r>
    <w:r>
      <w:rPr>
        <w:i/>
        <w:iCs/>
        <w:color w:val="808080" w:themeColor="background1" w:themeShade="80"/>
        <w:sz w:val="16"/>
        <w:szCs w:val="16"/>
      </w:rPr>
      <w:t>Compte rendu entretien process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EF6BE2"/>
    <w:multiLevelType w:val="hybridMultilevel"/>
    <w:tmpl w:val="F6AA8AC8"/>
    <w:lvl w:ilvl="0" w:tplc="7FE4C806">
      <w:start w:val="1"/>
      <w:numFmt w:val="bullet"/>
      <w:lvlText w:val="●"/>
      <w:lvlJc w:val="left"/>
      <w:pPr>
        <w:ind w:left="720" w:hanging="360"/>
      </w:pPr>
    </w:lvl>
    <w:lvl w:ilvl="1" w:tplc="42F41622">
      <w:start w:val="1"/>
      <w:numFmt w:val="bullet"/>
      <w:lvlText w:val="○"/>
      <w:lvlJc w:val="left"/>
      <w:pPr>
        <w:ind w:left="1440" w:hanging="360"/>
      </w:pPr>
    </w:lvl>
    <w:lvl w:ilvl="2" w:tplc="7E9CBB2E">
      <w:start w:val="1"/>
      <w:numFmt w:val="bullet"/>
      <w:lvlText w:val="■"/>
      <w:lvlJc w:val="left"/>
      <w:pPr>
        <w:ind w:left="2160" w:hanging="360"/>
      </w:pPr>
    </w:lvl>
    <w:lvl w:ilvl="3" w:tplc="847E361E">
      <w:start w:val="1"/>
      <w:numFmt w:val="bullet"/>
      <w:lvlText w:val="●"/>
      <w:lvlJc w:val="left"/>
      <w:pPr>
        <w:ind w:left="2880" w:hanging="360"/>
      </w:pPr>
    </w:lvl>
    <w:lvl w:ilvl="4" w:tplc="A800BA4C">
      <w:start w:val="1"/>
      <w:numFmt w:val="bullet"/>
      <w:lvlText w:val="○"/>
      <w:lvlJc w:val="left"/>
      <w:pPr>
        <w:ind w:left="3600" w:hanging="360"/>
      </w:pPr>
    </w:lvl>
    <w:lvl w:ilvl="5" w:tplc="9E023702">
      <w:start w:val="1"/>
      <w:numFmt w:val="bullet"/>
      <w:lvlText w:val="■"/>
      <w:lvlJc w:val="left"/>
      <w:pPr>
        <w:ind w:left="4320" w:hanging="360"/>
      </w:pPr>
    </w:lvl>
    <w:lvl w:ilvl="6" w:tplc="BAA2622C">
      <w:start w:val="1"/>
      <w:numFmt w:val="bullet"/>
      <w:lvlText w:val="●"/>
      <w:lvlJc w:val="left"/>
      <w:pPr>
        <w:ind w:left="5040" w:hanging="360"/>
      </w:pPr>
    </w:lvl>
    <w:lvl w:ilvl="7" w:tplc="CD48F88A">
      <w:start w:val="1"/>
      <w:numFmt w:val="bullet"/>
      <w:lvlText w:val="●"/>
      <w:lvlJc w:val="left"/>
      <w:pPr>
        <w:ind w:left="5760" w:hanging="360"/>
      </w:pPr>
    </w:lvl>
    <w:lvl w:ilvl="8" w:tplc="7D48C2F2">
      <w:start w:val="1"/>
      <w:numFmt w:val="bullet"/>
      <w:lvlText w:val="●"/>
      <w:lvlJc w:val="left"/>
      <w:pPr>
        <w:ind w:left="6480" w:hanging="360"/>
      </w:pPr>
    </w:lvl>
  </w:abstractNum>
  <w:num w:numId="1" w16cid:durableId="10566367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4400"/>
    <w:rsid w:val="00234400"/>
    <w:rsid w:val="00596328"/>
    <w:rsid w:val="00A14B3D"/>
    <w:rsid w:val="00AD466B"/>
    <w:rsid w:val="00F33CF3"/>
    <w:rsid w:val="00FB01A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1C483"/>
  <w15:docId w15:val="{F54B4D82-D074-4B7D-AEDC-BE285A13C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280" w:after="140"/>
      <w:outlineLvl w:val="0"/>
    </w:pPr>
    <w:rPr>
      <w:b/>
      <w:bCs/>
      <w:color w:val="1E3A5F"/>
      <w:sz w:val="28"/>
      <w:szCs w:val="28"/>
    </w:rPr>
  </w:style>
  <w:style w:type="paragraph" w:styleId="Titre2">
    <w:name w:val="heading 2"/>
    <w:uiPriority w:val="9"/>
    <w:unhideWhenUsed/>
    <w:qFormat/>
    <w:pPr>
      <w:spacing w:before="220" w:after="110"/>
      <w:outlineLvl w:val="1"/>
    </w:pPr>
    <w:rPr>
      <w:b/>
      <w:bCs/>
      <w:color w:val="1E3A5F"/>
      <w:sz w:val="22"/>
      <w:szCs w:val="22"/>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customStyle="1" w:styleId="Rapport-T1">
    <w:name w:val="Rapport - T1"/>
    <w:basedOn w:val="Normal"/>
    <w:link w:val="Rapport-T1Car"/>
    <w:qFormat/>
    <w:rsid w:val="00596328"/>
    <w:pPr>
      <w:spacing w:before="600" w:after="100"/>
    </w:pPr>
    <w:rPr>
      <w:b/>
      <w:bCs/>
      <w:color w:val="1F3864"/>
      <w:sz w:val="56"/>
      <w:szCs w:val="56"/>
    </w:rPr>
  </w:style>
  <w:style w:type="character" w:customStyle="1" w:styleId="Rapport-T1Car">
    <w:name w:val="Rapport - T1 Car"/>
    <w:basedOn w:val="Policepardfaut"/>
    <w:link w:val="Rapport-T1"/>
    <w:rsid w:val="00596328"/>
    <w:rPr>
      <w:b/>
      <w:bCs/>
      <w:color w:val="1F3864"/>
      <w:sz w:val="56"/>
      <w:szCs w:val="56"/>
    </w:rPr>
  </w:style>
  <w:style w:type="paragraph" w:customStyle="1" w:styleId="Rapport-T2">
    <w:name w:val="Rapport - T2"/>
    <w:basedOn w:val="Normal"/>
    <w:link w:val="Rapport-T2Car"/>
    <w:qFormat/>
    <w:rsid w:val="00596328"/>
    <w:pPr>
      <w:spacing w:after="400"/>
    </w:pPr>
    <w:rPr>
      <w:b/>
      <w:bCs/>
      <w:color w:val="2E74B5"/>
      <w:sz w:val="28"/>
      <w:szCs w:val="28"/>
    </w:rPr>
  </w:style>
  <w:style w:type="character" w:customStyle="1" w:styleId="Rapport-T2Car">
    <w:name w:val="Rapport - T2 Car"/>
    <w:basedOn w:val="Policepardfaut"/>
    <w:link w:val="Rapport-T2"/>
    <w:rsid w:val="00596328"/>
    <w:rPr>
      <w:b/>
      <w:bCs/>
      <w:color w:val="2E74B5"/>
      <w:sz w:val="28"/>
      <w:szCs w:val="28"/>
    </w:rPr>
  </w:style>
  <w:style w:type="paragraph" w:styleId="En-tte">
    <w:name w:val="header"/>
    <w:basedOn w:val="Normal"/>
    <w:link w:val="En-tteCar"/>
    <w:uiPriority w:val="99"/>
    <w:unhideWhenUsed/>
    <w:rsid w:val="00596328"/>
    <w:pPr>
      <w:tabs>
        <w:tab w:val="center" w:pos="4536"/>
        <w:tab w:val="right" w:pos="9072"/>
      </w:tabs>
    </w:pPr>
  </w:style>
  <w:style w:type="character" w:customStyle="1" w:styleId="En-tteCar">
    <w:name w:val="En-tête Car"/>
    <w:basedOn w:val="Policepardfaut"/>
    <w:link w:val="En-tte"/>
    <w:uiPriority w:val="99"/>
    <w:rsid w:val="00596328"/>
  </w:style>
  <w:style w:type="paragraph" w:styleId="Pieddepage">
    <w:name w:val="footer"/>
    <w:basedOn w:val="Normal"/>
    <w:link w:val="PieddepageCar"/>
    <w:uiPriority w:val="99"/>
    <w:unhideWhenUsed/>
    <w:rsid w:val="00596328"/>
    <w:pPr>
      <w:tabs>
        <w:tab w:val="center" w:pos="4536"/>
        <w:tab w:val="right" w:pos="9072"/>
      </w:tabs>
    </w:pPr>
  </w:style>
  <w:style w:type="character" w:customStyle="1" w:styleId="PieddepageCar">
    <w:name w:val="Pied de page Car"/>
    <w:basedOn w:val="Policepardfaut"/>
    <w:link w:val="Pieddepage"/>
    <w:uiPriority w:val="99"/>
    <w:rsid w:val="00596328"/>
  </w:style>
  <w:style w:type="paragraph" w:styleId="En-ttedetabledesmatires">
    <w:name w:val="TOC Heading"/>
    <w:basedOn w:val="Titre1"/>
    <w:next w:val="Normal"/>
    <w:uiPriority w:val="39"/>
    <w:unhideWhenUsed/>
    <w:qFormat/>
    <w:rsid w:val="00596328"/>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M1">
    <w:name w:val="toc 1"/>
    <w:basedOn w:val="Normal"/>
    <w:next w:val="Normal"/>
    <w:autoRedefine/>
    <w:uiPriority w:val="39"/>
    <w:unhideWhenUsed/>
    <w:rsid w:val="00596328"/>
    <w:pPr>
      <w:spacing w:after="100"/>
    </w:pPr>
    <w:rPr>
      <w:color w:val="1A1A1A"/>
    </w:rPr>
  </w:style>
  <w:style w:type="paragraph" w:styleId="TM2">
    <w:name w:val="toc 2"/>
    <w:basedOn w:val="Normal"/>
    <w:next w:val="Normal"/>
    <w:autoRedefine/>
    <w:uiPriority w:val="39"/>
    <w:unhideWhenUsed/>
    <w:rsid w:val="00596328"/>
    <w:pPr>
      <w:spacing w:after="100"/>
      <w:ind w:left="210"/>
    </w:pPr>
    <w:rPr>
      <w:color w:val="1A1A1A"/>
    </w:rPr>
  </w:style>
  <w:style w:type="paragraph" w:styleId="TM3">
    <w:name w:val="toc 3"/>
    <w:basedOn w:val="Normal"/>
    <w:next w:val="Normal"/>
    <w:autoRedefine/>
    <w:uiPriority w:val="39"/>
    <w:unhideWhenUsed/>
    <w:rsid w:val="00596328"/>
    <w:pPr>
      <w:spacing w:after="100"/>
      <w:ind w:left="420"/>
    </w:pPr>
    <w:rPr>
      <w:color w:val="1A1A1A"/>
    </w:rPr>
  </w:style>
  <w:style w:type="paragraph" w:customStyle="1" w:styleId="Rapport-T3">
    <w:name w:val="Rapport - T3"/>
    <w:basedOn w:val="Titre1"/>
    <w:link w:val="Rapport-T3Car"/>
    <w:qFormat/>
    <w:rsid w:val="00596328"/>
    <w:pPr>
      <w:pBdr>
        <w:bottom w:val="single" w:sz="8" w:space="4" w:color="2E74B5"/>
      </w:pBdr>
      <w:spacing w:before="480" w:after="240"/>
    </w:pPr>
    <w:rPr>
      <w:rFonts w:asciiTheme="majorHAnsi" w:eastAsiaTheme="majorEastAsia" w:hAnsiTheme="majorHAnsi" w:cstheme="majorBidi"/>
      <w:color w:val="1F3864"/>
      <w:sz w:val="30"/>
      <w:szCs w:val="30"/>
    </w:rPr>
  </w:style>
  <w:style w:type="character" w:customStyle="1" w:styleId="Rapport-T3Car">
    <w:name w:val="Rapport - T3 Car"/>
    <w:basedOn w:val="Policepardfaut"/>
    <w:link w:val="Rapport-T3"/>
    <w:rsid w:val="00596328"/>
    <w:rPr>
      <w:rFonts w:asciiTheme="majorHAnsi" w:eastAsiaTheme="majorEastAsia" w:hAnsiTheme="majorHAnsi" w:cstheme="majorBidi"/>
      <w:b/>
      <w:bCs/>
      <w:color w:val="1F3864"/>
      <w:sz w:val="30"/>
      <w:szCs w:val="30"/>
    </w:rPr>
  </w:style>
  <w:style w:type="paragraph" w:customStyle="1" w:styleId="Rapport-T4">
    <w:name w:val="Rapport - T4"/>
    <w:basedOn w:val="Titre2"/>
    <w:link w:val="Rapport-T4Car"/>
    <w:qFormat/>
    <w:rsid w:val="00596328"/>
    <w:pPr>
      <w:spacing w:before="360" w:after="160"/>
    </w:pPr>
    <w:rPr>
      <w:rFonts w:asciiTheme="majorHAnsi" w:eastAsiaTheme="majorEastAsia" w:hAnsiTheme="majorHAnsi" w:cstheme="majorBidi"/>
      <w:color w:val="1F3864"/>
      <w:sz w:val="24"/>
      <w:szCs w:val="24"/>
    </w:rPr>
  </w:style>
  <w:style w:type="character" w:customStyle="1" w:styleId="Rapport-T4Car">
    <w:name w:val="Rapport - T4 Car"/>
    <w:basedOn w:val="Policepardfaut"/>
    <w:link w:val="Rapport-T4"/>
    <w:rsid w:val="00596328"/>
    <w:rPr>
      <w:rFonts w:asciiTheme="majorHAnsi" w:eastAsiaTheme="majorEastAsia" w:hAnsiTheme="majorHAnsi" w:cstheme="majorBidi"/>
      <w:b/>
      <w:bCs/>
      <w:color w:val="1F3864"/>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696</Words>
  <Characters>3831</Characters>
  <Application>Microsoft Office Word</Application>
  <DocSecurity>0</DocSecurity>
  <Lines>31</Lines>
  <Paragraphs>9</Paragraphs>
  <ScaleCrop>false</ScaleCrop>
  <Company/>
  <LinksUpToDate>false</LinksUpToDate>
  <CharactersWithSpaces>4518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GOURNAY Julien</cp:lastModifiedBy>
  <cp:revision>3</cp:revision>
  <dcterms:created xsi:type="dcterms:W3CDTF">2026-07-22T12:31:00Z</dcterms:created>
  <dcterms:modified xsi:type="dcterms:W3CDTF">2026-07-22T12:55:00Z</dcterms:modified>
</cp:coreProperties>
</file>