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6E23F" w14:textId="76AA8270" w:rsidR="007110BC" w:rsidRDefault="007110BC" w:rsidP="007110BC">
      <w:pPr>
        <w:pStyle w:val="Rapport-T1"/>
      </w:pPr>
      <w:bookmarkStart w:id="0" w:name="_Toc235624931"/>
      <w:r>
        <w:t>B</w:t>
      </w:r>
      <w:r>
        <w:t>3</w:t>
      </w:r>
      <w:r>
        <w:t xml:space="preserve"> – </w:t>
      </w:r>
      <w:r>
        <w:tab/>
        <w:t>COORDINATION AGILE EN EQUIPE</w:t>
      </w:r>
    </w:p>
    <w:p w14:paraId="7C028624" w14:textId="77777777" w:rsidR="007110BC" w:rsidRDefault="007110BC" w:rsidP="007110BC">
      <w:pPr>
        <w:pStyle w:val="Rapport-T2"/>
      </w:pPr>
      <w:r>
        <w:t>Campus Companion —Formation B3</w:t>
      </w:r>
      <w:bookmarkStart w:id="1" w:name="_Toc235624309"/>
    </w:p>
    <w:sdt>
      <w:sdtPr>
        <w:rPr>
          <w:rFonts w:ascii="Calibri" w:eastAsia="Calibri" w:hAnsi="Calibri" w:cs="Calibri"/>
          <w:b/>
          <w:bCs/>
          <w:color w:val="auto"/>
          <w:sz w:val="28"/>
          <w:szCs w:val="28"/>
        </w:rPr>
        <w:id w:val="-1171638396"/>
        <w:docPartObj>
          <w:docPartGallery w:val="Table of Contents"/>
          <w:docPartUnique/>
        </w:docPartObj>
      </w:sdtPr>
      <w:sdtEndPr>
        <w:rPr>
          <w:b w:val="0"/>
          <w:bCs w:val="0"/>
          <w:sz w:val="21"/>
          <w:szCs w:val="21"/>
        </w:rPr>
      </w:sdtEndPr>
      <w:sdtContent>
        <w:p w14:paraId="397268C0" w14:textId="77777777" w:rsidR="00CC6F3C" w:rsidRPr="00E160C2" w:rsidRDefault="00CC6F3C" w:rsidP="00CC6F3C">
          <w:pPr>
            <w:pStyle w:val="En-ttedetabledesmatires"/>
            <w:rPr>
              <w:rFonts w:ascii="Calibri" w:hAnsi="Calibri" w:cs="Calibri"/>
              <w:b/>
              <w:bCs/>
              <w:color w:val="auto"/>
              <w:sz w:val="28"/>
              <w:szCs w:val="28"/>
            </w:rPr>
          </w:pPr>
          <w:r w:rsidRPr="00E160C2">
            <w:rPr>
              <w:rFonts w:ascii="Calibri" w:hAnsi="Calibri" w:cs="Calibri"/>
              <w:b/>
              <w:bCs/>
              <w:color w:val="auto"/>
              <w:sz w:val="28"/>
              <w:szCs w:val="28"/>
            </w:rPr>
            <w:t>Table des matières</w:t>
          </w:r>
        </w:p>
        <w:p w14:paraId="788162DA" w14:textId="5D9AE882" w:rsidR="00695516" w:rsidRDefault="00CC6F3C">
          <w:pPr>
            <w:pStyle w:val="TM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2667E3">
            <w:rPr>
              <w:color w:val="808080" w:themeColor="background1" w:themeShade="80"/>
            </w:rPr>
            <w:fldChar w:fldCharType="begin"/>
          </w:r>
          <w:r w:rsidRPr="002667E3">
            <w:rPr>
              <w:color w:val="808080" w:themeColor="background1" w:themeShade="80"/>
            </w:rPr>
            <w:instrText xml:space="preserve"> TOC \o "1-3" \h \z \u </w:instrText>
          </w:r>
          <w:r w:rsidRPr="002667E3">
            <w:rPr>
              <w:color w:val="808080" w:themeColor="background1" w:themeShade="80"/>
            </w:rPr>
            <w:fldChar w:fldCharType="separate"/>
          </w:r>
          <w:hyperlink w:anchor="_Toc235625172" w:history="1">
            <w:r w:rsidR="00695516" w:rsidRPr="009A2F62">
              <w:rPr>
                <w:rStyle w:val="Lienhypertexte"/>
                <w:noProof/>
              </w:rPr>
              <w:t>1. Objet de l'annexe</w:t>
            </w:r>
            <w:r w:rsidR="00695516">
              <w:rPr>
                <w:noProof/>
                <w:webHidden/>
              </w:rPr>
              <w:tab/>
            </w:r>
            <w:r w:rsidR="00695516">
              <w:rPr>
                <w:noProof/>
                <w:webHidden/>
              </w:rPr>
              <w:fldChar w:fldCharType="begin"/>
            </w:r>
            <w:r w:rsidR="00695516">
              <w:rPr>
                <w:noProof/>
                <w:webHidden/>
              </w:rPr>
              <w:instrText xml:space="preserve"> PAGEREF _Toc235625172 \h </w:instrText>
            </w:r>
            <w:r w:rsidR="00695516">
              <w:rPr>
                <w:noProof/>
                <w:webHidden/>
              </w:rPr>
            </w:r>
            <w:r w:rsidR="00695516">
              <w:rPr>
                <w:noProof/>
                <w:webHidden/>
              </w:rPr>
              <w:fldChar w:fldCharType="separate"/>
            </w:r>
            <w:r w:rsidR="00695516">
              <w:rPr>
                <w:noProof/>
                <w:webHidden/>
              </w:rPr>
              <w:t>1</w:t>
            </w:r>
            <w:r w:rsidR="00695516">
              <w:rPr>
                <w:noProof/>
                <w:webHidden/>
              </w:rPr>
              <w:fldChar w:fldCharType="end"/>
            </w:r>
          </w:hyperlink>
        </w:p>
        <w:p w14:paraId="16BA5091" w14:textId="383FF0BC" w:rsidR="00695516" w:rsidRDefault="00695516">
          <w:pPr>
            <w:pStyle w:val="TM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625173" w:history="1">
            <w:r w:rsidRPr="009A2F62">
              <w:rPr>
                <w:rStyle w:val="Lienhypertexte"/>
                <w:noProof/>
              </w:rPr>
              <w:t>2. Contexte : une équipe de 5, une contrainte de 48 heures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_Toc235625173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17876" w14:textId="7C10279A" w:rsidR="00695516" w:rsidRDefault="00695516">
          <w:pPr>
            <w:pStyle w:val="TM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625174" w:history="1">
            <w:r w:rsidRPr="009A2F62">
              <w:rPr>
                <w:rStyle w:val="Lienhypertexte"/>
                <w:noProof/>
              </w:rPr>
              <w:t>3. Organisation Agile retenue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_Toc235625174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6F9AC" w14:textId="40408AE5" w:rsidR="00695516" w:rsidRDefault="00695516">
          <w:pPr>
            <w:pStyle w:val="TM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625175" w:history="1">
            <w:r w:rsidRPr="009A2F62">
              <w:rPr>
                <w:rStyle w:val="Lienhypertexte"/>
                <w:noProof/>
              </w:rPr>
              <w:t>3.1 Découpage en lots autonomes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_Toc235625175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4F4CE" w14:textId="0988A470" w:rsidR="00695516" w:rsidRDefault="00695516">
          <w:pPr>
            <w:pStyle w:val="TM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625176" w:history="1">
            <w:r w:rsidRPr="009A2F62">
              <w:rPr>
                <w:rStyle w:val="Lienhypertexte"/>
                <w:noProof/>
              </w:rPr>
              <w:t>3.2 Un contrat d'interface stable comme mécanisme de découplage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_Toc235625176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05AF3" w14:textId="0CB96203" w:rsidR="00695516" w:rsidRDefault="00695516">
          <w:pPr>
            <w:pStyle w:val="TM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625177" w:history="1">
            <w:r w:rsidRPr="009A2F62">
              <w:rPr>
                <w:rStyle w:val="Lienhypertexte"/>
                <w:noProof/>
              </w:rPr>
              <w:t>3.3 Intégration par petits incréments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_Toc235625177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E0D7E" w14:textId="5E524B5E" w:rsidR="00695516" w:rsidRDefault="00695516">
          <w:pPr>
            <w:pStyle w:val="TM2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625178" w:history="1">
            <w:r w:rsidRPr="009A2F62">
              <w:rPr>
                <w:rStyle w:val="Lienhypertexte"/>
                <w:noProof/>
              </w:rPr>
              <w:t>3.4 Intégration continue via pull requests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_Toc235625178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8864C" w14:textId="3BDE2A23" w:rsidR="00695516" w:rsidRDefault="00695516">
          <w:pPr>
            <w:pStyle w:val="TM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625179" w:history="1">
            <w:r w:rsidRPr="009A2F62">
              <w:rPr>
                <w:rStyle w:val="Lienhypertexte"/>
                <w:noProof/>
              </w:rPr>
              <w:t>4. Mon rôle dans la coordination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_Toc235625179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4DE2F" w14:textId="7E005C62" w:rsidR="00695516" w:rsidRDefault="00695516">
          <w:pPr>
            <w:pStyle w:val="TM1"/>
            <w:tabs>
              <w:tab w:val="right" w:leader="dot" w:pos="969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625180" w:history="1">
            <w:r w:rsidRPr="009A2F62">
              <w:rPr>
                <w:rStyle w:val="Lienhypertexte"/>
                <w:noProof/>
              </w:rPr>
              <w:t>5. Bilan et limites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_Toc235625180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C1369" w14:textId="7A8CA356" w:rsidR="00CC6F3C" w:rsidRDefault="00CC6F3C" w:rsidP="00CC6F3C">
          <w:r w:rsidRPr="002667E3">
            <w:rPr>
              <w:color w:val="808080" w:themeColor="background1" w:themeShade="80"/>
            </w:rPr>
            <w:fldChar w:fldCharType="end"/>
          </w:r>
        </w:p>
      </w:sdtContent>
    </w:sdt>
    <w:p w14:paraId="114DE9C1" w14:textId="298A1124" w:rsidR="00F5495F" w:rsidRDefault="00000000" w:rsidP="00695516">
      <w:pPr>
        <w:pStyle w:val="Rapport-T3"/>
      </w:pPr>
      <w:bookmarkStart w:id="2" w:name="_Toc235625022"/>
      <w:bookmarkStart w:id="3" w:name="_Toc235625172"/>
      <w:bookmarkEnd w:id="1"/>
      <w:r>
        <w:rPr>
          <w:rFonts w:eastAsia="Calibri"/>
        </w:rPr>
        <w:t>1. Objet de l'annexe</w:t>
      </w:r>
      <w:bookmarkEnd w:id="0"/>
      <w:bookmarkEnd w:id="2"/>
      <w:bookmarkEnd w:id="3"/>
    </w:p>
    <w:p w14:paraId="750D414A" w14:textId="77777777" w:rsidR="00F5495F" w:rsidRDefault="00000000">
      <w:pPr>
        <w:spacing w:after="160" w:line="276" w:lineRule="auto"/>
        <w:jc w:val="both"/>
      </w:pPr>
      <w:r>
        <w:t xml:space="preserve">Cette annexe documente la compétence C2.9 — « Coordination Agile de la programmation en équipe » — à travers le projet Campus Companion </w:t>
      </w:r>
      <w:proofErr w:type="spellStart"/>
      <w:r>
        <w:t>Ynov</w:t>
      </w:r>
      <w:proofErr w:type="spellEnd"/>
      <w:r>
        <w:t>, réalisé en équipe de 5 développeurs lors d'un Challenge de 48 heures (30-31 mars 2026).</w:t>
      </w:r>
    </w:p>
    <w:p w14:paraId="188EAC38" w14:textId="77777777" w:rsidR="00F5495F" w:rsidRDefault="00000000">
      <w:pPr>
        <w:spacing w:after="160" w:line="276" w:lineRule="auto"/>
        <w:jc w:val="both"/>
      </w:pPr>
      <w:r>
        <w:t>Contrairement aux Annexes B1 et B2, aucun outil de gestion Agile dédié (</w:t>
      </w:r>
      <w:proofErr w:type="spellStart"/>
      <w:r>
        <w:t>board</w:t>
      </w:r>
      <w:proofErr w:type="spellEnd"/>
      <w:r>
        <w:t xml:space="preserve"> Kanban, </w:t>
      </w:r>
      <w:proofErr w:type="spellStart"/>
      <w:r>
        <w:t>backlog</w:t>
      </w:r>
      <w:proofErr w:type="spellEnd"/>
      <w:r>
        <w:t xml:space="preserve"> Trello ou Notion) n'a été utilisé pendant ce </w:t>
      </w:r>
      <w:proofErr w:type="gramStart"/>
      <w:r>
        <w:t>challenge</w:t>
      </w:r>
      <w:proofErr w:type="gramEnd"/>
      <w:r>
        <w:t xml:space="preserve"> : la coordination s'est faite de façon pragmatique, par la structuration du dépôt en lots fonctionnels indépendants et par des échanges oraux directs entre les membres de l'équipe, adaptés à la contrainte extrême de temps. Cette annexe s'appuie donc uniquement sur des preuves vérifiables dans l'historique Git du dépôt (branches, pull </w:t>
      </w:r>
      <w:proofErr w:type="spellStart"/>
      <w:r>
        <w:t>requests</w:t>
      </w:r>
      <w:proofErr w:type="spellEnd"/>
      <w:r>
        <w:t xml:space="preserve">, fréquence et granularité des </w:t>
      </w:r>
      <w:proofErr w:type="spellStart"/>
      <w:r>
        <w:t>commits</w:t>
      </w:r>
      <w:proofErr w:type="spellEnd"/>
      <w:r>
        <w:t>), complétées par une analyse de ce que ce mode de fonctionnement a permis — et de ses limites.</w:t>
      </w:r>
    </w:p>
    <w:p w14:paraId="3471AF65" w14:textId="77777777" w:rsidR="00F5495F" w:rsidRDefault="00000000" w:rsidP="00695516">
      <w:pPr>
        <w:pStyle w:val="Rapport-T3"/>
      </w:pPr>
      <w:bookmarkStart w:id="4" w:name="_Toc235624932"/>
      <w:bookmarkStart w:id="5" w:name="_Toc235625023"/>
      <w:bookmarkStart w:id="6" w:name="_Toc235625173"/>
      <w:r>
        <w:rPr>
          <w:rFonts w:eastAsia="Calibri"/>
        </w:rPr>
        <w:t>2. Contexte : une équipe de 5, une contrainte de 48 heures</w:t>
      </w:r>
      <w:bookmarkEnd w:id="4"/>
      <w:bookmarkEnd w:id="5"/>
      <w:bookmarkEnd w:id="6"/>
    </w:p>
    <w:p w14:paraId="7BB24577" w14:textId="56B2DDD5" w:rsidR="00695516" w:rsidRDefault="00000000">
      <w:pPr>
        <w:spacing w:after="160" w:line="276" w:lineRule="auto"/>
        <w:jc w:val="both"/>
      </w:pPr>
      <w:r>
        <w:t>Le projet a réuni 5 contributeurs : julien-</w:t>
      </w:r>
      <w:proofErr w:type="spellStart"/>
      <w:r>
        <w:t>gournay</w:t>
      </w:r>
      <w:proofErr w:type="spellEnd"/>
      <w:r>
        <w:t xml:space="preserve">, Inkflow59, Simon-Pruvot, aZeDen31 et mohammed-tahri24. Il fallait livrer, en 48 heures, un assistant conversationnel décliné en trois clients (mobile Flutter, web </w:t>
      </w:r>
      <w:proofErr w:type="spellStart"/>
      <w:r>
        <w:t>React</w:t>
      </w:r>
      <w:proofErr w:type="spellEnd"/>
      <w:r>
        <w:t>, desktop Electron) reposant sur un unique backend Spring Boot. Un délai aussi court interdisait toute cérémonie Agile lourde (sprint planning formel, rituel quotidien chronométré, rétrospective) : l'équipe a dû choisir les pratiques Agile strictement utiles à la coordination, en écartant celles dont le coût en temps aurait dépassé le bénéfice sur un format aussi court.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00"/>
        <w:gridCol w:w="3200"/>
      </w:tblGrid>
      <w:tr w:rsidR="00F5495F" w14:paraId="30CC33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09DE85" w14:textId="77777777" w:rsidR="00F5495F" w:rsidRDefault="00000000">
            <w:r>
              <w:rPr>
                <w:b/>
                <w:bCs/>
                <w:color w:val="FFFFFF"/>
                <w:sz w:val="19"/>
                <w:szCs w:val="19"/>
              </w:rPr>
              <w:t>Lot fonctionnel</w:t>
            </w:r>
          </w:p>
        </w:tc>
        <w:tc>
          <w:tcPr>
            <w:tcW w:w="34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AA7953" w14:textId="77777777" w:rsidR="00F5495F" w:rsidRDefault="00000000">
            <w:r>
              <w:rPr>
                <w:b/>
                <w:bCs/>
                <w:color w:val="FFFFFF"/>
                <w:sz w:val="19"/>
                <w:szCs w:val="19"/>
              </w:rPr>
              <w:t>Branche Git</w:t>
            </w:r>
          </w:p>
        </w:tc>
        <w:tc>
          <w:tcPr>
            <w:tcW w:w="3200" w:type="dxa"/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FD12EF" w14:textId="77777777" w:rsidR="00F5495F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Pull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request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de fusion</w:t>
            </w:r>
          </w:p>
        </w:tc>
      </w:tr>
      <w:tr w:rsidR="00F5495F" w14:paraId="3ED421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F35098" w14:textId="77777777" w:rsidR="00F5495F" w:rsidRDefault="00000000">
            <w:r>
              <w:rPr>
                <w:sz w:val="19"/>
                <w:szCs w:val="19"/>
              </w:rPr>
              <w:t>Backoffice (desktop Electron)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67AF56" w14:textId="77777777" w:rsidR="00F5495F" w:rsidRDefault="00000000">
            <w:proofErr w:type="gramStart"/>
            <w:r>
              <w:rPr>
                <w:sz w:val="19"/>
                <w:szCs w:val="19"/>
              </w:rPr>
              <w:t>backoffice</w:t>
            </w:r>
            <w:proofErr w:type="gramEnd"/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BE4119" w14:textId="77777777" w:rsidR="00F5495F" w:rsidRDefault="00000000">
            <w:r>
              <w:rPr>
                <w:sz w:val="19"/>
                <w:szCs w:val="19"/>
              </w:rPr>
              <w:t>PR #1 « Implémentation du backoffice », PR #2 « FAQ : ajout d'une boîte de dialogue… »</w:t>
            </w:r>
          </w:p>
        </w:tc>
      </w:tr>
      <w:tr w:rsidR="00F5495F" w14:paraId="74BD3F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9343A" w14:textId="77777777" w:rsidR="00F5495F" w:rsidRDefault="00000000">
            <w:r>
              <w:rPr>
                <w:sz w:val="19"/>
                <w:szCs w:val="19"/>
              </w:rPr>
              <w:lastRenderedPageBreak/>
              <w:t>Mobile (Flutter)</w:t>
            </w:r>
          </w:p>
        </w:tc>
        <w:tc>
          <w:tcPr>
            <w:tcW w:w="3400" w:type="dxa"/>
            <w:shd w:val="clear" w:color="auto" w:fill="EDF2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258B75" w14:textId="77777777" w:rsidR="00F5495F" w:rsidRDefault="00000000">
            <w:proofErr w:type="gramStart"/>
            <w:r>
              <w:rPr>
                <w:sz w:val="19"/>
                <w:szCs w:val="19"/>
              </w:rPr>
              <w:t>mobile</w:t>
            </w:r>
            <w:proofErr w:type="gramEnd"/>
          </w:p>
        </w:tc>
        <w:tc>
          <w:tcPr>
            <w:tcW w:w="3200" w:type="dxa"/>
            <w:shd w:val="clear" w:color="auto" w:fill="EDF2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63E10B" w14:textId="77777777" w:rsidR="00F5495F" w:rsidRDefault="00000000">
            <w:r>
              <w:rPr>
                <w:sz w:val="19"/>
                <w:szCs w:val="19"/>
              </w:rPr>
              <w:t>PR #3 « Merge de la branche "mobile" »</w:t>
            </w:r>
          </w:p>
        </w:tc>
      </w:tr>
      <w:tr w:rsidR="00F5495F" w14:paraId="63CD91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2CCB68" w14:textId="77777777" w:rsidR="00F5495F" w:rsidRDefault="00000000">
            <w:r>
              <w:rPr>
                <w:sz w:val="19"/>
                <w:szCs w:val="19"/>
              </w:rPr>
              <w:t>Web (</w:t>
            </w:r>
            <w:proofErr w:type="spellStart"/>
            <w:r>
              <w:rPr>
                <w:sz w:val="19"/>
                <w:szCs w:val="19"/>
              </w:rPr>
              <w:t>React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842196" w14:textId="77777777" w:rsidR="00F5495F" w:rsidRDefault="00000000">
            <w:proofErr w:type="gramStart"/>
            <w:r>
              <w:rPr>
                <w:sz w:val="19"/>
                <w:szCs w:val="19"/>
              </w:rPr>
              <w:t>web</w:t>
            </w:r>
            <w:proofErr w:type="gramEnd"/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0931F1" w14:textId="77777777" w:rsidR="00F5495F" w:rsidRDefault="00000000">
            <w:r>
              <w:rPr>
                <w:sz w:val="19"/>
                <w:szCs w:val="19"/>
              </w:rPr>
              <w:t>PR #4 « Merge de la branche web »</w:t>
            </w:r>
          </w:p>
        </w:tc>
      </w:tr>
      <w:tr w:rsidR="00F5495F" w14:paraId="031D2A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F2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5CD96C" w14:textId="77777777" w:rsidR="00F5495F" w:rsidRDefault="00000000">
            <w:r>
              <w:rPr>
                <w:sz w:val="19"/>
                <w:szCs w:val="19"/>
              </w:rPr>
              <w:t>Backend (Spring Boot)</w:t>
            </w:r>
          </w:p>
        </w:tc>
        <w:tc>
          <w:tcPr>
            <w:tcW w:w="3400" w:type="dxa"/>
            <w:shd w:val="clear" w:color="auto" w:fill="EDF2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0DF54D" w14:textId="77777777" w:rsidR="00F5495F" w:rsidRDefault="00000000">
            <w:proofErr w:type="gramStart"/>
            <w:r>
              <w:rPr>
                <w:sz w:val="19"/>
                <w:szCs w:val="19"/>
              </w:rPr>
              <w:t>dépôt</w:t>
            </w:r>
            <w:proofErr w:type="gramEnd"/>
            <w:r>
              <w:rPr>
                <w:sz w:val="19"/>
                <w:szCs w:val="19"/>
              </w:rPr>
              <w:t xml:space="preserve"> séparé </w:t>
            </w:r>
            <w:proofErr w:type="spellStart"/>
            <w:r>
              <w:rPr>
                <w:sz w:val="19"/>
                <w:szCs w:val="19"/>
              </w:rPr>
              <w:t>ycompagnon</w:t>
            </w:r>
            <w:proofErr w:type="spellEnd"/>
            <w:r>
              <w:rPr>
                <w:sz w:val="19"/>
                <w:szCs w:val="19"/>
              </w:rPr>
              <w:t>-api</w:t>
            </w:r>
          </w:p>
        </w:tc>
        <w:tc>
          <w:tcPr>
            <w:tcW w:w="3200" w:type="dxa"/>
            <w:shd w:val="clear" w:color="auto" w:fill="EDF2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88687B" w14:textId="77777777" w:rsidR="00F5495F" w:rsidRDefault="00000000">
            <w:proofErr w:type="gramStart"/>
            <w:r>
              <w:rPr>
                <w:sz w:val="19"/>
                <w:szCs w:val="19"/>
              </w:rPr>
              <w:t>développé</w:t>
            </w:r>
            <w:proofErr w:type="gramEnd"/>
            <w:r>
              <w:rPr>
                <w:sz w:val="19"/>
                <w:szCs w:val="19"/>
              </w:rPr>
              <w:t xml:space="preserve"> et versionné indépendamment</w:t>
            </w:r>
          </w:p>
        </w:tc>
      </w:tr>
    </w:tbl>
    <w:p w14:paraId="110388D5" w14:textId="77777777" w:rsidR="00F5495F" w:rsidRDefault="00000000" w:rsidP="00695516">
      <w:pPr>
        <w:pStyle w:val="Rapport-T3"/>
      </w:pPr>
      <w:bookmarkStart w:id="7" w:name="_Toc235624933"/>
      <w:bookmarkStart w:id="8" w:name="_Toc235625024"/>
      <w:bookmarkStart w:id="9" w:name="_Toc235625174"/>
      <w:r>
        <w:rPr>
          <w:rFonts w:eastAsia="Calibri"/>
        </w:rPr>
        <w:t>3. Organisation Agile retenue</w:t>
      </w:r>
      <w:bookmarkEnd w:id="7"/>
      <w:bookmarkEnd w:id="8"/>
      <w:bookmarkEnd w:id="9"/>
    </w:p>
    <w:p w14:paraId="4FA50D9A" w14:textId="77777777" w:rsidR="00F5495F" w:rsidRDefault="00000000" w:rsidP="00695516">
      <w:pPr>
        <w:pStyle w:val="Rapport-T4"/>
      </w:pPr>
      <w:bookmarkStart w:id="10" w:name="_Toc235624934"/>
      <w:bookmarkStart w:id="11" w:name="_Toc235625025"/>
      <w:bookmarkStart w:id="12" w:name="_Toc235625175"/>
      <w:r>
        <w:rPr>
          <w:rFonts w:eastAsia="Calibri"/>
        </w:rPr>
        <w:t>3.1 Découpage en lots autonomes</w:t>
      </w:r>
      <w:bookmarkEnd w:id="10"/>
      <w:bookmarkEnd w:id="11"/>
      <w:bookmarkEnd w:id="12"/>
    </w:p>
    <w:p w14:paraId="0A079C99" w14:textId="77777777" w:rsidR="00F5495F" w:rsidRDefault="00000000">
      <w:pPr>
        <w:spacing w:after="160" w:line="276" w:lineRule="auto"/>
        <w:jc w:val="both"/>
      </w:pPr>
      <w:r>
        <w:t>Le premier mécanisme de coordination a été la répartition du travail en lots fonctionnels étanches (mobile / web / desktop / backend), chacun développé sur sa propre branche. Ce découpage a permis à chaque membre de l'équipe d'avancer en parallèle sans attendre les autres, une condition indispensable pour tenir le délai de 48 heures.</w:t>
      </w:r>
    </w:p>
    <w:p w14:paraId="610F5047" w14:textId="77777777" w:rsidR="00F5495F" w:rsidRDefault="00000000" w:rsidP="00695516">
      <w:pPr>
        <w:pStyle w:val="Rapport-T4"/>
      </w:pPr>
      <w:bookmarkStart w:id="13" w:name="_Toc235624935"/>
      <w:bookmarkStart w:id="14" w:name="_Toc235625026"/>
      <w:bookmarkStart w:id="15" w:name="_Toc235625176"/>
      <w:r>
        <w:rPr>
          <w:rFonts w:eastAsia="Calibri"/>
        </w:rPr>
        <w:t>3.2 Un contrat d'interface stable comme mécanisme de découplage</w:t>
      </w:r>
      <w:bookmarkEnd w:id="13"/>
      <w:bookmarkEnd w:id="14"/>
      <w:bookmarkEnd w:id="15"/>
    </w:p>
    <w:p w14:paraId="2387A490" w14:textId="77777777" w:rsidR="00F5495F" w:rsidRDefault="00000000">
      <w:pPr>
        <w:spacing w:after="160" w:line="276" w:lineRule="auto"/>
        <w:jc w:val="both"/>
      </w:pPr>
      <w:r>
        <w:t>Ce découpage en lots parallèles n'aurait pas fonctionné sans un point de synchronisation commun : le contrat d'API (</w:t>
      </w:r>
      <w:proofErr w:type="spellStart"/>
      <w:r>
        <w:t>endpoints</w:t>
      </w:r>
      <w:proofErr w:type="spellEnd"/>
      <w:r>
        <w:t>, formats JSON, authentification), documenté et stabilisé tôt dans le projet (cf. Annexes B1 et B2). En figeant ce contrat en amont, l'équipe a pu développer les trois clients sans dépendance bloquante vis-à-vis de l'avancement du backend — chaque client pouvait être testé et itéré dès lors que le contrat était respecté, même si l'implémentation backend continuait d'évoluer.</w:t>
      </w:r>
    </w:p>
    <w:p w14:paraId="25C0E9F4" w14:textId="77777777" w:rsidR="00F5495F" w:rsidRDefault="00000000" w:rsidP="00695516">
      <w:pPr>
        <w:pStyle w:val="Rapport-T4"/>
      </w:pPr>
      <w:bookmarkStart w:id="16" w:name="_Toc235624936"/>
      <w:bookmarkStart w:id="17" w:name="_Toc235625027"/>
      <w:bookmarkStart w:id="18" w:name="_Toc235625177"/>
      <w:r>
        <w:rPr>
          <w:rFonts w:eastAsia="Calibri"/>
        </w:rPr>
        <w:t>3.3 Intégration par petits incréments</w:t>
      </w:r>
      <w:bookmarkEnd w:id="16"/>
      <w:bookmarkEnd w:id="17"/>
      <w:bookmarkEnd w:id="18"/>
    </w:p>
    <w:p w14:paraId="74DBED9C" w14:textId="77777777" w:rsidR="00F5495F" w:rsidRDefault="00000000">
      <w:pPr>
        <w:spacing w:after="160" w:line="276" w:lineRule="auto"/>
        <w:jc w:val="both"/>
      </w:pPr>
      <w:r>
        <w:t xml:space="preserve">L'historique de </w:t>
      </w:r>
      <w:proofErr w:type="spellStart"/>
      <w:r>
        <w:t>commits</w:t>
      </w:r>
      <w:proofErr w:type="spellEnd"/>
      <w:r>
        <w:t xml:space="preserve"> du dépôt montre une cadence de livraison fine plutôt que de gros blocs de code livrés en une fois : au moins 27 </w:t>
      </w:r>
      <w:proofErr w:type="spellStart"/>
      <w:r>
        <w:t>commits</w:t>
      </w:r>
      <w:proofErr w:type="spellEnd"/>
      <w:r>
        <w:t xml:space="preserve"> fonctionnels (hors fusions) répartis sur les 30 et 31 mars 2026, avec des messages ciblés sur une unité de travail précise :</w:t>
      </w:r>
    </w:p>
    <w:p w14:paraId="34376DD0" w14:textId="77777777" w:rsidR="00F5495F" w:rsidRDefault="00000000">
      <w:pPr>
        <w:pStyle w:val="Paragraphedeliste"/>
        <w:numPr>
          <w:ilvl w:val="0"/>
          <w:numId w:val="1"/>
        </w:numPr>
        <w:spacing w:after="90" w:line="270" w:lineRule="auto"/>
      </w:pPr>
      <w:r>
        <w:t>« Ajout du header, et du formulaire qui ne s'affiche que s'il y a une erreur dans le tchat »</w:t>
      </w:r>
    </w:p>
    <w:p w14:paraId="4D7C8D05" w14:textId="77777777" w:rsidR="00F5495F" w:rsidRDefault="00000000">
      <w:pPr>
        <w:pStyle w:val="Paragraphedeliste"/>
        <w:numPr>
          <w:ilvl w:val="0"/>
          <w:numId w:val="1"/>
        </w:numPr>
        <w:spacing w:after="90" w:line="270" w:lineRule="auto"/>
      </w:pPr>
      <w:r>
        <w:t>« Rendu le formulaire responsive »</w:t>
      </w:r>
    </w:p>
    <w:p w14:paraId="3E3AC518" w14:textId="77777777" w:rsidR="00F5495F" w:rsidRDefault="00000000">
      <w:pPr>
        <w:pStyle w:val="Paragraphedeliste"/>
        <w:numPr>
          <w:ilvl w:val="0"/>
          <w:numId w:val="1"/>
        </w:numPr>
        <w:spacing w:after="90" w:line="270" w:lineRule="auto"/>
      </w:pPr>
      <w:r>
        <w:t>« Ajout des noms des input »</w:t>
      </w:r>
    </w:p>
    <w:p w14:paraId="6FA8001C" w14:textId="77777777" w:rsidR="00F5495F" w:rsidRDefault="00000000">
      <w:pPr>
        <w:pStyle w:val="Paragraphedeliste"/>
        <w:numPr>
          <w:ilvl w:val="0"/>
          <w:numId w:val="1"/>
        </w:numPr>
        <w:spacing w:after="90" w:line="270" w:lineRule="auto"/>
      </w:pPr>
      <w:r>
        <w:t>« Ajout de la suppression des conversations et des confirmations »</w:t>
      </w:r>
    </w:p>
    <w:p w14:paraId="1B191C93" w14:textId="77777777" w:rsidR="00F5495F" w:rsidRDefault="00000000">
      <w:pPr>
        <w:pStyle w:val="Paragraphedeliste"/>
        <w:numPr>
          <w:ilvl w:val="0"/>
          <w:numId w:val="1"/>
        </w:numPr>
        <w:spacing w:after="90" w:line="270" w:lineRule="auto"/>
      </w:pPr>
      <w:r>
        <w:t>« FAQ : ajout d'une boîte de dialogue de modification et d'un aperçu des réponses »</w:t>
      </w:r>
    </w:p>
    <w:p w14:paraId="2D69E42F" w14:textId="77777777" w:rsidR="00F5495F" w:rsidRDefault="00000000">
      <w:pPr>
        <w:spacing w:after="160" w:line="276" w:lineRule="auto"/>
        <w:jc w:val="both"/>
      </w:pPr>
      <w:r>
        <w:t xml:space="preserve">Cette granularité correspond au principe Agile de livraison incrémentale : chaque commit reste petit, testable et réversible, ce qui limite le risque de conflit de fusion et permet d'intégrer les branches fréquemment plutôt qu'en une seule fois en fin de </w:t>
      </w:r>
      <w:proofErr w:type="gramStart"/>
      <w:r>
        <w:t>challenge</w:t>
      </w:r>
      <w:proofErr w:type="gramEnd"/>
      <w:r>
        <w:t>.</w:t>
      </w:r>
    </w:p>
    <w:p w14:paraId="23E4385C" w14:textId="77777777" w:rsidR="00695516" w:rsidRDefault="00695516">
      <w:pPr>
        <w:spacing w:after="160" w:line="276" w:lineRule="auto"/>
        <w:jc w:val="both"/>
      </w:pPr>
    </w:p>
    <w:p w14:paraId="5989E183" w14:textId="77777777" w:rsidR="00695516" w:rsidRDefault="00695516">
      <w:pPr>
        <w:spacing w:after="160" w:line="276" w:lineRule="auto"/>
        <w:jc w:val="both"/>
      </w:pPr>
    </w:p>
    <w:p w14:paraId="056827D5" w14:textId="77777777" w:rsidR="00695516" w:rsidRDefault="00695516">
      <w:pPr>
        <w:spacing w:after="160" w:line="276" w:lineRule="auto"/>
        <w:jc w:val="both"/>
      </w:pPr>
    </w:p>
    <w:p w14:paraId="52639C11" w14:textId="77777777" w:rsidR="00F5495F" w:rsidRDefault="00000000" w:rsidP="00695516">
      <w:pPr>
        <w:pStyle w:val="Rapport-T4"/>
      </w:pPr>
      <w:bookmarkStart w:id="19" w:name="_Toc235624937"/>
      <w:bookmarkStart w:id="20" w:name="_Toc235625028"/>
      <w:bookmarkStart w:id="21" w:name="_Toc235625178"/>
      <w:r>
        <w:rPr>
          <w:rFonts w:eastAsia="Calibri"/>
        </w:rPr>
        <w:t xml:space="preserve">3.4 Intégration continue via pull </w:t>
      </w:r>
      <w:proofErr w:type="spellStart"/>
      <w:r>
        <w:rPr>
          <w:rFonts w:eastAsia="Calibri"/>
        </w:rPr>
        <w:t>requests</w:t>
      </w:r>
      <w:bookmarkEnd w:id="19"/>
      <w:bookmarkEnd w:id="20"/>
      <w:bookmarkEnd w:id="21"/>
      <w:proofErr w:type="spellEnd"/>
    </w:p>
    <w:p w14:paraId="52670C78" w14:textId="77777777" w:rsidR="00F5495F" w:rsidRDefault="00000000">
      <w:pPr>
        <w:spacing w:after="160" w:line="276" w:lineRule="auto"/>
        <w:jc w:val="both"/>
      </w:pPr>
      <w:r>
        <w:lastRenderedPageBreak/>
        <w:t xml:space="preserve">Les quatre lots ont été réintégrés dans la branche principale via quatre pull </w:t>
      </w:r>
      <w:proofErr w:type="spellStart"/>
      <w:r>
        <w:t>requests</w:t>
      </w:r>
      <w:proofErr w:type="spellEnd"/>
      <w:r>
        <w:t xml:space="preserve"> dédiées (une par lot, avec une itération supplémentaire pour le backoffice). Ce mécanisme, même informel, a joué le rôle d'un point de contrôle avant fusion, évitant qu'une branche ne diverge trop longtemps de la version principale — pratique directement héritée de l'intégration continue promue par les méthodes Agile.</w:t>
      </w:r>
    </w:p>
    <w:p w14:paraId="56563EB2" w14:textId="77777777" w:rsidR="00F5495F" w:rsidRDefault="00000000" w:rsidP="00695516">
      <w:pPr>
        <w:pStyle w:val="Rapport-T3"/>
      </w:pPr>
      <w:bookmarkStart w:id="22" w:name="_Toc235624938"/>
      <w:bookmarkStart w:id="23" w:name="_Toc235625029"/>
      <w:bookmarkStart w:id="24" w:name="_Toc235625179"/>
      <w:r>
        <w:rPr>
          <w:rFonts w:eastAsia="Calibri"/>
        </w:rPr>
        <w:t>4. Mon rôle dans la coordination</w:t>
      </w:r>
      <w:bookmarkEnd w:id="22"/>
      <w:bookmarkEnd w:id="23"/>
      <w:bookmarkEnd w:id="24"/>
    </w:p>
    <w:p w14:paraId="45B00A1B" w14:textId="77777777" w:rsidR="00F5495F" w:rsidRDefault="00000000">
      <w:pPr>
        <w:spacing w:after="160" w:line="276" w:lineRule="auto"/>
        <w:jc w:val="both"/>
      </w:pPr>
      <w:r>
        <w:t xml:space="preserve">J'ai développé le client web (branche web) ainsi que la couche d'intégration à l'API (classe </w:t>
      </w:r>
      <w:proofErr w:type="spellStart"/>
      <w:r>
        <w:t>CampusCompanionAPI</w:t>
      </w:r>
      <w:proofErr w:type="spellEnd"/>
      <w:r>
        <w:t>, cf. Annexe B2), et contribué à la documentation du contrat d'API utilisé par l'ensemble de l'équipe (README.md, API_DOCUMENTATION.md, cf. Annexe B1). En stabilisant ce contrat tôt et en le documentant, j'ai fourni à mes coéquipiers un point de repère commun leur permettant de développer leurs clients respectifs sans avoir à se synchroniser en continu avec moi sur les détails d'implémentation du backend — une forme de coordination Agile par contrat plutôt que par supervision directe.</w:t>
      </w:r>
    </w:p>
    <w:p w14:paraId="0D8086AD" w14:textId="77777777" w:rsidR="00F5495F" w:rsidRDefault="00000000" w:rsidP="00695516">
      <w:pPr>
        <w:pStyle w:val="Rapport-T3"/>
      </w:pPr>
      <w:bookmarkStart w:id="25" w:name="_Toc235624939"/>
      <w:bookmarkStart w:id="26" w:name="_Toc235625030"/>
      <w:bookmarkStart w:id="27" w:name="_Toc235625180"/>
      <w:r>
        <w:rPr>
          <w:rFonts w:eastAsia="Calibri"/>
        </w:rPr>
        <w:t>5. Bilan et limites</w:t>
      </w:r>
      <w:bookmarkEnd w:id="25"/>
      <w:bookmarkEnd w:id="26"/>
      <w:bookmarkEnd w:id="27"/>
    </w:p>
    <w:p w14:paraId="16BB5EA9" w14:textId="77777777" w:rsidR="00F5495F" w:rsidRDefault="00000000">
      <w:pPr>
        <w:spacing w:after="160" w:line="276" w:lineRule="auto"/>
        <w:jc w:val="both"/>
      </w:pPr>
      <w:r>
        <w:t xml:space="preserve">Ce mode de coordination, pragmatique et adapté à la contrainte de 48 heures, a permis de livrer les trois clients et le backend dans les temps. Il présente cependant une limite assumée : l'absence d'outil de suivi visuel (Kanban, </w:t>
      </w:r>
      <w:proofErr w:type="spellStart"/>
      <w:r>
        <w:t>backlog</w:t>
      </w:r>
      <w:proofErr w:type="spellEnd"/>
      <w:r>
        <w:t xml:space="preserve">) rend le partage des tâches restant et l'avancement de chacun moins traçables a posteriori que dans un cadre Scrum classique. Sur un projet de plus longue durée, cette même équipe gagnerait à formaliser un </w:t>
      </w:r>
      <w:proofErr w:type="spellStart"/>
      <w:r>
        <w:t>board</w:t>
      </w:r>
      <w:proofErr w:type="spellEnd"/>
      <w:r>
        <w:t xml:space="preserve"> de </w:t>
      </w:r>
      <w:proofErr w:type="gramStart"/>
      <w:r>
        <w:t>tâches partagé</w:t>
      </w:r>
      <w:proofErr w:type="gramEnd"/>
      <w:r>
        <w:t>, même léger, pour fiabiliser le suivi au-delà du seul historique Git.</w:t>
      </w:r>
    </w:p>
    <w:sectPr w:rsidR="00F5495F">
      <w:headerReference w:type="default" r:id="rId7"/>
      <w:footerReference w:type="default" r:id="rId8"/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A463A" w14:textId="77777777" w:rsidR="00797466" w:rsidRDefault="00797466">
      <w:r>
        <w:separator/>
      </w:r>
    </w:p>
  </w:endnote>
  <w:endnote w:type="continuationSeparator" w:id="0">
    <w:p w14:paraId="34FCBA74" w14:textId="77777777" w:rsidR="00797466" w:rsidRDefault="007974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E1CE7" w14:textId="38477FFB" w:rsidR="00F5495F" w:rsidRPr="0040043E" w:rsidRDefault="0040043E" w:rsidP="0040043E">
    <w:pPr>
      <w:jc w:val="center"/>
    </w:pPr>
    <w:r w:rsidRPr="00284410">
      <w:rPr>
        <w:i/>
        <w:iCs/>
        <w:color w:val="808080" w:themeColor="background1" w:themeShade="80"/>
        <w:sz w:val="16"/>
        <w:szCs w:val="16"/>
      </w:rPr>
      <w:t>Julien Gournay</w:t>
    </w:r>
    <w:r w:rsidRPr="00284410">
      <w:rPr>
        <w:color w:val="595959"/>
        <w:sz w:val="16"/>
        <w:szCs w:val="16"/>
      </w:rPr>
      <w:ptab w:relativeTo="margin" w:alignment="center" w:leader="none"/>
    </w:r>
    <w:r w:rsidRPr="00555C42">
      <w:rPr>
        <w:i/>
        <w:iCs/>
        <w:color w:val="808080" w:themeColor="background1" w:themeShade="80"/>
        <w:sz w:val="16"/>
        <w:szCs w:val="16"/>
      </w:rPr>
      <w:t>Dossier de Validation RNCP</w:t>
    </w:r>
    <w:r>
      <w:rPr>
        <w:color w:val="666666"/>
        <w:sz w:val="18"/>
        <w:szCs w:val="18"/>
      </w:rPr>
      <w:t xml:space="preserve"> </w:t>
    </w:r>
    <w:r w:rsidRPr="00555C42">
      <w:rPr>
        <w:i/>
        <w:iCs/>
        <w:color w:val="808080" w:themeColor="background1" w:themeShade="80"/>
        <w:sz w:val="16"/>
        <w:szCs w:val="16"/>
      </w:rPr>
      <w:t>36463</w:t>
    </w:r>
    <w:r w:rsidRPr="00284410">
      <w:rPr>
        <w:color w:val="595959"/>
        <w:sz w:val="16"/>
        <w:szCs w:val="16"/>
      </w:rPr>
      <w:ptab w:relativeTo="margin" w:alignment="right" w:leader="none"/>
    </w:r>
    <w:r w:rsidRPr="00284410">
      <w:rPr>
        <w:color w:val="595959"/>
        <w:sz w:val="16"/>
        <w:szCs w:val="16"/>
      </w:rPr>
      <w:fldChar w:fldCharType="begin"/>
    </w:r>
    <w:r w:rsidRPr="00284410">
      <w:rPr>
        <w:color w:val="595959"/>
        <w:sz w:val="16"/>
        <w:szCs w:val="16"/>
      </w:rPr>
      <w:instrText>PAGE   \* MERGEFORMAT</w:instrText>
    </w:r>
    <w:r w:rsidRPr="00284410">
      <w:rPr>
        <w:color w:val="595959"/>
        <w:sz w:val="16"/>
        <w:szCs w:val="16"/>
      </w:rPr>
      <w:fldChar w:fldCharType="separate"/>
    </w:r>
    <w:r>
      <w:rPr>
        <w:color w:val="595959"/>
        <w:sz w:val="16"/>
        <w:szCs w:val="16"/>
      </w:rPr>
      <w:t>1</w:t>
    </w:r>
    <w:r w:rsidRPr="00284410"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E1664" w14:textId="77777777" w:rsidR="00797466" w:rsidRDefault="00797466">
      <w:r>
        <w:separator/>
      </w:r>
    </w:p>
  </w:footnote>
  <w:footnote w:type="continuationSeparator" w:id="0">
    <w:p w14:paraId="03F4BE81" w14:textId="77777777" w:rsidR="00797466" w:rsidRDefault="007974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9C1A6" w14:textId="33D38C7B" w:rsidR="00F5495F" w:rsidRPr="007110BC" w:rsidRDefault="007110BC" w:rsidP="007110BC">
    <w:pPr>
      <w:pStyle w:val="En-tte"/>
      <w:rPr>
        <w:color w:val="808080" w:themeColor="background1" w:themeShade="80"/>
      </w:rPr>
    </w:pPr>
    <w:r w:rsidRPr="00CA1E65">
      <w:rPr>
        <w:i/>
        <w:iCs/>
        <w:color w:val="808080" w:themeColor="background1" w:themeShade="80"/>
        <w:sz w:val="16"/>
        <w:szCs w:val="16"/>
      </w:rPr>
      <w:t xml:space="preserve">Annexe </w:t>
    </w:r>
    <w:r>
      <w:rPr>
        <w:i/>
        <w:iCs/>
        <w:color w:val="808080" w:themeColor="background1" w:themeShade="80"/>
        <w:sz w:val="16"/>
        <w:szCs w:val="16"/>
      </w:rPr>
      <w:t>B</w:t>
    </w:r>
    <w:r>
      <w:rPr>
        <w:i/>
        <w:iCs/>
        <w:color w:val="808080" w:themeColor="background1" w:themeShade="80"/>
        <w:sz w:val="16"/>
        <w:szCs w:val="16"/>
      </w:rPr>
      <w:t>3</w:t>
    </w:r>
    <w:r w:rsidRPr="00CA1E65">
      <w:rPr>
        <w:i/>
        <w:iCs/>
        <w:color w:val="808080" w:themeColor="background1" w:themeShade="80"/>
        <w:sz w:val="16"/>
        <w:szCs w:val="16"/>
      </w:rPr>
      <w:t xml:space="preserve"> </w:t>
    </w:r>
    <w:r>
      <w:rPr>
        <w:i/>
        <w:iCs/>
        <w:color w:val="808080" w:themeColor="background1" w:themeShade="80"/>
        <w:sz w:val="16"/>
        <w:szCs w:val="16"/>
      </w:rPr>
      <w:t>– Campus Companion</w:t>
    </w:r>
    <w:r w:rsidRPr="00CA1E65">
      <w:rPr>
        <w:i/>
        <w:iCs/>
        <w:color w:val="808080" w:themeColor="background1" w:themeShade="80"/>
        <w:sz w:val="16"/>
        <w:szCs w:val="16"/>
      </w:rPr>
      <w:t xml:space="preserve"> </w:t>
    </w:r>
    <w:r>
      <w:rPr>
        <w:i/>
        <w:iCs/>
        <w:color w:val="808080" w:themeColor="background1" w:themeShade="80"/>
        <w:sz w:val="16"/>
        <w:szCs w:val="16"/>
      </w:rPr>
      <w:t>–</w:t>
    </w:r>
    <w:r w:rsidRPr="00CA1E65">
      <w:rPr>
        <w:i/>
        <w:iCs/>
        <w:color w:val="808080" w:themeColor="background1" w:themeShade="80"/>
        <w:sz w:val="16"/>
        <w:szCs w:val="16"/>
      </w:rPr>
      <w:t xml:space="preserve"> </w:t>
    </w:r>
    <w:r>
      <w:rPr>
        <w:i/>
        <w:iCs/>
        <w:color w:val="808080" w:themeColor="background1" w:themeShade="80"/>
        <w:sz w:val="16"/>
        <w:szCs w:val="16"/>
      </w:rPr>
      <w:t>Coordination Agile en équipe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03586"/>
    <w:multiLevelType w:val="hybridMultilevel"/>
    <w:tmpl w:val="3DD0E728"/>
    <w:lvl w:ilvl="0" w:tplc="65F24F44">
      <w:start w:val="1"/>
      <w:numFmt w:val="bullet"/>
      <w:lvlText w:val="●"/>
      <w:lvlJc w:val="left"/>
      <w:pPr>
        <w:ind w:left="720" w:hanging="360"/>
      </w:pPr>
    </w:lvl>
    <w:lvl w:ilvl="1" w:tplc="63D6A4CE">
      <w:start w:val="1"/>
      <w:numFmt w:val="bullet"/>
      <w:lvlText w:val="○"/>
      <w:lvlJc w:val="left"/>
      <w:pPr>
        <w:ind w:left="1440" w:hanging="360"/>
      </w:pPr>
    </w:lvl>
    <w:lvl w:ilvl="2" w:tplc="154C8462">
      <w:start w:val="1"/>
      <w:numFmt w:val="bullet"/>
      <w:lvlText w:val="■"/>
      <w:lvlJc w:val="left"/>
      <w:pPr>
        <w:ind w:left="2160" w:hanging="360"/>
      </w:pPr>
    </w:lvl>
    <w:lvl w:ilvl="3" w:tplc="15328642">
      <w:start w:val="1"/>
      <w:numFmt w:val="bullet"/>
      <w:lvlText w:val="●"/>
      <w:lvlJc w:val="left"/>
      <w:pPr>
        <w:ind w:left="2880" w:hanging="360"/>
      </w:pPr>
    </w:lvl>
    <w:lvl w:ilvl="4" w:tplc="22B4DE74">
      <w:start w:val="1"/>
      <w:numFmt w:val="bullet"/>
      <w:lvlText w:val="○"/>
      <w:lvlJc w:val="left"/>
      <w:pPr>
        <w:ind w:left="3600" w:hanging="360"/>
      </w:pPr>
    </w:lvl>
    <w:lvl w:ilvl="5" w:tplc="8D54364E">
      <w:start w:val="1"/>
      <w:numFmt w:val="bullet"/>
      <w:lvlText w:val="■"/>
      <w:lvlJc w:val="left"/>
      <w:pPr>
        <w:ind w:left="4320" w:hanging="360"/>
      </w:pPr>
    </w:lvl>
    <w:lvl w:ilvl="6" w:tplc="C8E8FC1E">
      <w:start w:val="1"/>
      <w:numFmt w:val="bullet"/>
      <w:lvlText w:val="●"/>
      <w:lvlJc w:val="left"/>
      <w:pPr>
        <w:ind w:left="5040" w:hanging="360"/>
      </w:pPr>
    </w:lvl>
    <w:lvl w:ilvl="7" w:tplc="95184B06">
      <w:start w:val="1"/>
      <w:numFmt w:val="bullet"/>
      <w:lvlText w:val="●"/>
      <w:lvlJc w:val="left"/>
      <w:pPr>
        <w:ind w:left="5760" w:hanging="360"/>
      </w:pPr>
    </w:lvl>
    <w:lvl w:ilvl="8" w:tplc="9A621E96">
      <w:start w:val="1"/>
      <w:numFmt w:val="bullet"/>
      <w:lvlText w:val="●"/>
      <w:lvlJc w:val="left"/>
      <w:pPr>
        <w:ind w:left="6480" w:hanging="360"/>
      </w:pPr>
    </w:lvl>
  </w:abstractNum>
  <w:num w:numId="1" w16cid:durableId="93778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95F"/>
    <w:rsid w:val="0040043E"/>
    <w:rsid w:val="00695516"/>
    <w:rsid w:val="007110BC"/>
    <w:rsid w:val="00797466"/>
    <w:rsid w:val="00CC6F3C"/>
    <w:rsid w:val="00F5495F"/>
    <w:rsid w:val="00FB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EA2B9"/>
  <w15:docId w15:val="{F54B4D82-D074-4B7D-AEDC-BE285A13C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7110BC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7110BC"/>
    <w:pPr>
      <w:spacing w:after="100"/>
      <w:ind w:left="210"/>
    </w:pPr>
  </w:style>
  <w:style w:type="paragraph" w:customStyle="1" w:styleId="Rapport-T1">
    <w:name w:val="Rapport - T1"/>
    <w:basedOn w:val="Normal"/>
    <w:link w:val="Rapport-T1Car"/>
    <w:qFormat/>
    <w:rsid w:val="007110BC"/>
    <w:pPr>
      <w:spacing w:before="600" w:after="100"/>
    </w:pPr>
    <w:rPr>
      <w:b/>
      <w:bCs/>
      <w:color w:val="1F3864"/>
      <w:sz w:val="56"/>
      <w:szCs w:val="56"/>
    </w:rPr>
  </w:style>
  <w:style w:type="character" w:customStyle="1" w:styleId="Rapport-T1Car">
    <w:name w:val="Rapport - T1 Car"/>
    <w:basedOn w:val="Policepardfaut"/>
    <w:link w:val="Rapport-T1"/>
    <w:rsid w:val="007110BC"/>
    <w:rPr>
      <w:b/>
      <w:bCs/>
      <w:color w:val="1F3864"/>
      <w:sz w:val="56"/>
      <w:szCs w:val="56"/>
    </w:rPr>
  </w:style>
  <w:style w:type="paragraph" w:customStyle="1" w:styleId="Rapport-T2">
    <w:name w:val="Rapport - T2"/>
    <w:basedOn w:val="Normal"/>
    <w:link w:val="Rapport-T2Car"/>
    <w:qFormat/>
    <w:rsid w:val="007110BC"/>
    <w:pPr>
      <w:spacing w:after="400"/>
    </w:pPr>
    <w:rPr>
      <w:b/>
      <w:bCs/>
      <w:color w:val="2E74B5"/>
      <w:sz w:val="28"/>
      <w:szCs w:val="28"/>
    </w:rPr>
  </w:style>
  <w:style w:type="character" w:customStyle="1" w:styleId="Rapport-T2Car">
    <w:name w:val="Rapport - T2 Car"/>
    <w:basedOn w:val="Policepardfaut"/>
    <w:link w:val="Rapport-T2"/>
    <w:rsid w:val="007110BC"/>
    <w:rPr>
      <w:b/>
      <w:bCs/>
      <w:color w:val="2E74B5"/>
      <w:sz w:val="28"/>
      <w:szCs w:val="28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7110BC"/>
    <w:pPr>
      <w:keepNext/>
      <w:keepLines/>
      <w:spacing w:before="240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En-tte">
    <w:name w:val="header"/>
    <w:basedOn w:val="Normal"/>
    <w:link w:val="En-tteCar"/>
    <w:uiPriority w:val="99"/>
    <w:unhideWhenUsed/>
    <w:rsid w:val="007110B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110BC"/>
  </w:style>
  <w:style w:type="paragraph" w:styleId="Pieddepage">
    <w:name w:val="footer"/>
    <w:basedOn w:val="Normal"/>
    <w:link w:val="PieddepageCar"/>
    <w:uiPriority w:val="99"/>
    <w:unhideWhenUsed/>
    <w:rsid w:val="007110B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110BC"/>
  </w:style>
  <w:style w:type="paragraph" w:customStyle="1" w:styleId="Rapport-T3">
    <w:name w:val="Rapport - T3"/>
    <w:basedOn w:val="Titre1"/>
    <w:link w:val="Rapport-T3Car"/>
    <w:qFormat/>
    <w:rsid w:val="00695516"/>
    <w:pPr>
      <w:pBdr>
        <w:bottom w:val="single" w:sz="8" w:space="4" w:color="2E74B5"/>
      </w:pBdr>
      <w:spacing w:before="480" w:after="240"/>
    </w:pPr>
    <w:rPr>
      <w:rFonts w:asciiTheme="majorHAnsi" w:eastAsiaTheme="majorEastAsia" w:hAnsiTheme="majorHAnsi" w:cstheme="majorBidi"/>
      <w:b/>
      <w:bCs/>
      <w:color w:val="1F3864"/>
      <w:sz w:val="30"/>
      <w:szCs w:val="30"/>
    </w:rPr>
  </w:style>
  <w:style w:type="character" w:customStyle="1" w:styleId="Rapport-T3Car">
    <w:name w:val="Rapport - T3 Car"/>
    <w:basedOn w:val="Policepardfaut"/>
    <w:link w:val="Rapport-T3"/>
    <w:rsid w:val="00695516"/>
    <w:rPr>
      <w:rFonts w:asciiTheme="majorHAnsi" w:eastAsiaTheme="majorEastAsia" w:hAnsiTheme="majorHAnsi" w:cstheme="majorBidi"/>
      <w:b/>
      <w:bCs/>
      <w:color w:val="1F3864"/>
      <w:sz w:val="30"/>
      <w:szCs w:val="30"/>
    </w:rPr>
  </w:style>
  <w:style w:type="paragraph" w:customStyle="1" w:styleId="Rapport-T4">
    <w:name w:val="Rapport - T4"/>
    <w:basedOn w:val="Titre2"/>
    <w:link w:val="Rapport-T4Car"/>
    <w:qFormat/>
    <w:rsid w:val="00695516"/>
    <w:pPr>
      <w:spacing w:before="360" w:after="160"/>
    </w:pPr>
    <w:rPr>
      <w:rFonts w:asciiTheme="majorHAnsi" w:eastAsiaTheme="majorEastAsia" w:hAnsiTheme="majorHAnsi" w:cstheme="majorBidi"/>
      <w:b/>
      <w:bCs/>
      <w:color w:val="1F3864"/>
      <w:sz w:val="24"/>
      <w:szCs w:val="24"/>
    </w:rPr>
  </w:style>
  <w:style w:type="character" w:customStyle="1" w:styleId="Rapport-T4Car">
    <w:name w:val="Rapport - T4 Car"/>
    <w:basedOn w:val="Policepardfaut"/>
    <w:link w:val="Rapport-T4"/>
    <w:rsid w:val="00695516"/>
    <w:rPr>
      <w:rFonts w:asciiTheme="majorHAnsi" w:eastAsiaTheme="majorEastAsia" w:hAnsiTheme="majorHAnsi" w:cstheme="majorBidi"/>
      <w:b/>
      <w:bCs/>
      <w:color w:val="1F3864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992</Words>
  <Characters>5462</Characters>
  <Application>Microsoft Office Word</Application>
  <DocSecurity>0</DocSecurity>
  <Lines>45</Lines>
  <Paragraphs>12</Paragraphs>
  <ScaleCrop>false</ScaleCrop>
  <Company/>
  <LinksUpToDate>false</LinksUpToDate>
  <CharactersWithSpaces>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GOURNAY Julien</cp:lastModifiedBy>
  <cp:revision>5</cp:revision>
  <dcterms:created xsi:type="dcterms:W3CDTF">2026-07-17T12:17:00Z</dcterms:created>
  <dcterms:modified xsi:type="dcterms:W3CDTF">2026-07-22T13:06:00Z</dcterms:modified>
</cp:coreProperties>
</file>