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Active Protocols (Compiled Reference Version)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document defines the standing protocols that govern the rewrite process. These protocols are to be consulted before generating any page or chapter rewrite to ensure absolute alignment, thematic integrity, and stylistic continuity.</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Protocol 1: Four-Document Reference Rule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Before generating or revising any chapter or page, I will consult and refer to four documents together:</w:t>
        <w:br/>
        <w:t xml:space="preserve">1. Master_Condensed_Outline.docx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for overall thematic flow, narrative escalation, and psychological arc.</w:t>
        <w:br/>
        <w:t xml:space="preserve">2. Full text of the current chapter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identify which portions are preserved, revised, or rewritten.</w:t>
        <w:br/>
        <w:t xml:space="preserve">3. Corresponding Page_by_Page_Outline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ensure each page strictly follows its intended structure and emotional progression.</w:t>
        <w:br/>
        <w:t xml:space="preserve">4. Active Protocols Document (this file)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confirm adherence to every standing protocol (tone, word count, paragraph length, etc.) and prevent drift.</w:t>
        <w:br/>
        <w:br/>
        <w:t xml:space="preserve">At the start of each chapter rewrite, I will explicitly confirm that all four have been referenced.</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Protocol 2: Page Length &amp; Expansion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Each page will target 200</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500 words. </w:t>
      </w:r>
      <w:r>
        <w:rPr>
          <w:rFonts w:ascii="Cambria" w:hAnsi="Cambria" w:cs="Cambria" w:eastAsia="Cambria"/>
          <w:color w:val="auto"/>
          <w:spacing w:val="0"/>
          <w:position w:val="0"/>
          <w:sz w:val="22"/>
          <w:shd w:fill="auto" w:val="clear"/>
        </w:rPr>
        <w:t xml:space="preserve">This range provides room to expand rhetorical and psychological depth, disarm skepticism, and explore examples, metaphors, and context that make arguments more persuasive.</w:t>
        <w:br/>
        <w:br/>
        <w:t xml:space="preserve">Pages near 200 words will be high-impact and urgent, while pages near 500 words will provide developed argumentation and rich narrative texture.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Protocol 3: Word Count Tracking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Each generated page will include an estimated word count in its heading (e.g., “Page 1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~520 words</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Pages outside the 300</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600 range will be flagged and adjusted.</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Protocol 4: Preservation &amp; Fidelity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Preserve original language and structure whenever it aligns with the master outline and page plan. Where revision is required:</w:t>
        <w:br/>
        <w:t xml:space="preserve">- Light revision: smooth and expand existing text without altering core meaning.</w:t>
        <w:br/>
        <w:t xml:space="preserve">- Significant rewrite: restructure or replace sections that do not align with the outline, ensuring thematic fidelity.</w:t>
        <w:br/>
        <w:br/>
        <w:t xml:space="preserve">Explicitly note which content is preserved, revised, or newly written to maintain transparency.</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Protocol 5: Tone &amp; Style Guide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Voice: authoritative but invitational, principled and visionary, never detached or flippant.</w:t>
        <w:br/>
        <w:t xml:space="preserve">Rhythm: varied sentence length; paragraphs expanded to 5</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8 sentences; momentum-driven transitions.</w:t>
        <w:br/>
        <w:t xml:space="preserve">Psychological Depth: every page follows a clear emotional progression (fear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anger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resolve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awe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responsibility).</w:t>
        <w:br/>
        <w:t xml:space="preserve">Imagery &amp; Metaphor: vivid, archetypal, civilizational imagery (crown, forge, garden, horizon); no over-ornamentation.</w:t>
        <w:br/>
        <w:t xml:space="preserve">Moral Register: serious but not grim, hopeful and forward-looking, empowering the reader to act.</w:t>
        <w:br/>
        <w:t xml:space="preserve">Perspective: mix of second person (“you”) and collective first person (“we”), occasional prophetic third person.</w:t>
        <w:br/>
        <w:t xml:space="preserve">Rhetorical Devices: parallelism, repetition, contrasts to sharpen stakes and reinforce memory.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Standing Order: No rewrite, page generation, or edit will proceed unless all four reference documents have been read and these protocols explicitly confirmed as active. This ensures narrative consistency, psychological coherence, and rhetorical power across the entire work.</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