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33a470dd423ae0ac128bba956907345305bea6"/>
    <w:p>
      <w:pPr>
        <w:pStyle w:val="Heading1"/>
      </w:pPr>
      <w:r>
        <w:t xml:space="preserve">Structural &amp; Flow Analysis — Chapter 1:</w:t>
      </w:r>
      <w:r>
        <w:t xml:space="preserve"> </w:t>
      </w:r>
      <w:r>
        <w:rPr>
          <w:i/>
          <w:iCs/>
        </w:rPr>
        <w:t xml:space="preserve">The Burden of Collapse</w:t>
      </w:r>
    </w:p>
    <w:p>
      <w:r>
        <w:pict>
          <v:rect style="width:0;height:1.5pt" o:hralign="center" o:hrstd="t" o:hr="t"/>
        </w:pict>
      </w:r>
    </w:p>
    <w:bookmarkStart w:id="20" w:name="page-1-opening-invocation"/>
    <w:p>
      <w:pPr>
        <w:pStyle w:val="Heading2"/>
      </w:pPr>
      <w:r>
        <w:t xml:space="preserve">Page 1 – Opening Invocation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Frame collapse as deliberate betrayal, not fate; summon the reader into tribunal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high-stakes opening, judicial framing, stark</w:t>
      </w:r>
      <w:r>
        <w:t xml:space="preserve"> </w:t>
      </w:r>
      <w:r>
        <w:t xml:space="preserve">“collapse is not natural law.”</w:t>
      </w:r>
      <w:r>
        <w:t xml:space="preserve"> </w:t>
      </w:r>
      <w:r>
        <w:t xml:space="preserve">Sets tone for entire 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allusions</w:t>
      </w:r>
      <w:r>
        <w:t xml:space="preserve"> </w:t>
      </w:r>
      <w:r>
        <w:t xml:space="preserve">(Rome, Soviet Union, Weimar) to contrast</w:t>
      </w:r>
      <w:r>
        <w:t xml:space="preserve"> </w:t>
      </w:r>
      <w:r>
        <w:t xml:space="preserve">“collapse as fate”</w:t>
      </w:r>
      <w:r>
        <w:t xml:space="preserve"> </w:t>
      </w:r>
      <w:r>
        <w:t xml:space="preserve">vs. </w:t>
      </w:r>
      <w:r>
        <w:t xml:space="preserve">“collapse as betrayal.”</w:t>
      </w:r>
    </w:p>
    <w:p>
      <w:pPr>
        <w:pStyle w:val="Compact"/>
        <w:numPr>
          <w:ilvl w:val="1"/>
          <w:numId w:val="1002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reader-facing metaphor</w:t>
      </w:r>
      <w:r>
        <w:t xml:space="preserve">: gavel in their hand, ledger before them.</w:t>
      </w:r>
    </w:p>
    <w:p>
      <w:pPr>
        <w:pStyle w:val="Compact"/>
        <w:numPr>
          <w:ilvl w:val="1"/>
          <w:numId w:val="1002"/>
        </w:numPr>
      </w:pPr>
      <w:r>
        <w:t xml:space="preserve">Expand</w:t>
      </w:r>
      <w:r>
        <w:t xml:space="preserve"> </w:t>
      </w:r>
      <w:r>
        <w:t xml:space="preserve">“collapse was written”</w:t>
      </w:r>
      <w:r>
        <w:t xml:space="preserve"> </w:t>
      </w:r>
      <w:r>
        <w:t xml:space="preserve">with images of how it was designed (treaties, regulations, policies).</w:t>
      </w:r>
    </w:p>
    <w:p>
      <w:r>
        <w:pict>
          <v:rect style="width:0;height:1.5pt" o:hralign="center" o:hrstd="t" o:hr="t"/>
        </w:pict>
      </w:r>
    </w:p>
    <w:bookmarkEnd w:id="20"/>
    <w:bookmarkStart w:id="21" w:name="page-2-ordinary-innocence"/>
    <w:p>
      <w:pPr>
        <w:pStyle w:val="Heading2"/>
      </w:pPr>
      <w:r>
        <w:t xml:space="preserve">Page 2 – Ordinary Innocence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Vindicate the people — betrayal came from stewards, not citizens. Builds emotional sympathy.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clearly distinguishes citizen loyalty vs. elite betrayal.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Flesh out</w:t>
      </w:r>
      <w:r>
        <w:t xml:space="preserve"> </w:t>
      </w:r>
      <w:r>
        <w:rPr>
          <w:b/>
          <w:bCs/>
        </w:rPr>
        <w:t xml:space="preserve">examples of sacrifice and trust</w:t>
      </w:r>
      <w:r>
        <w:t xml:space="preserve">: paying taxes, serving in wars, raising families through hardship.</w:t>
      </w:r>
    </w:p>
    <w:p>
      <w:pPr>
        <w:pStyle w:val="Compact"/>
        <w:numPr>
          <w:ilvl w:val="1"/>
          <w:numId w:val="1004"/>
        </w:numPr>
      </w:pPr>
      <w:r>
        <w:t xml:space="preserve">Contrast:</w:t>
      </w:r>
      <w:r>
        <w:t xml:space="preserve"> </w:t>
      </w:r>
      <w:r>
        <w:t xml:space="preserve">“They did not demand fragility, they were handed it.”</w:t>
      </w:r>
      <w:r>
        <w:t xml:space="preserve"> </w:t>
      </w:r>
      <w:r>
        <w:t xml:space="preserve">Could use a</w:t>
      </w:r>
      <w:r>
        <w:t xml:space="preserve"> </w:t>
      </w:r>
      <w:r>
        <w:rPr>
          <w:b/>
          <w:bCs/>
        </w:rPr>
        <w:t xml:space="preserve">vignette</w:t>
      </w:r>
      <w:r>
        <w:t xml:space="preserve"> </w:t>
      </w:r>
      <w:r>
        <w:t xml:space="preserve">(factory town closed, community gutted).</w:t>
      </w:r>
    </w:p>
    <w:p>
      <w:pPr>
        <w:pStyle w:val="Compact"/>
        <w:numPr>
          <w:ilvl w:val="1"/>
          <w:numId w:val="1004"/>
        </w:numPr>
      </w:pPr>
      <w:r>
        <w:t xml:space="preserve">Deepen</w:t>
      </w:r>
      <w:r>
        <w:t xml:space="preserve"> </w:t>
      </w:r>
      <w:r>
        <w:rPr>
          <w:b/>
          <w:bCs/>
        </w:rPr>
        <w:t xml:space="preserve">betrayal as sacrilege</w:t>
      </w:r>
      <w:r>
        <w:t xml:space="preserve"> </w:t>
      </w:r>
      <w:r>
        <w:t xml:space="preserve">theme.</w:t>
      </w:r>
    </w:p>
    <w:p>
      <w:r>
        <w:pict>
          <v:rect style="width:0;height:1.5pt" o:hralign="center" o:hrstd="t" o:hr="t"/>
        </w:pict>
      </w:r>
    </w:p>
    <w:bookmarkEnd w:id="21"/>
    <w:bookmarkStart w:id="22" w:name="page-3-the-justice-gap-opens"/>
    <w:p>
      <w:pPr>
        <w:pStyle w:val="Heading2"/>
      </w:pPr>
      <w:r>
        <w:t xml:space="preserve">Page 3 – The Justice Gap Opens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Define the void between exposure and consequence — betrayal unpunished.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Very effective — scandal/inquiry cycle, justice gap made systemic.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named examples</w:t>
      </w:r>
      <w:r>
        <w:t xml:space="preserve">: commissions without results, financial scandals, surveillance abuses.</w:t>
      </w:r>
    </w:p>
    <w:p>
      <w:pPr>
        <w:pStyle w:val="Compact"/>
        <w:numPr>
          <w:ilvl w:val="1"/>
          <w:numId w:val="1006"/>
        </w:numPr>
      </w:pPr>
      <w:r>
        <w:t xml:space="preserve">Highlight</w:t>
      </w:r>
      <w:r>
        <w:t xml:space="preserve"> </w:t>
      </w:r>
      <w:r>
        <w:rPr>
          <w:b/>
          <w:bCs/>
        </w:rPr>
        <w:t xml:space="preserve">reader resonance</w:t>
      </w:r>
      <w:r>
        <w:t xml:space="preserve">:</w:t>
      </w:r>
      <w:r>
        <w:t xml:space="preserve"> </w:t>
      </w:r>
      <w:r>
        <w:t xml:space="preserve">“You remember when X happened, and nothing came.”</w:t>
      </w:r>
    </w:p>
    <w:p>
      <w:pPr>
        <w:pStyle w:val="Compact"/>
        <w:numPr>
          <w:ilvl w:val="1"/>
          <w:numId w:val="1006"/>
        </w:numPr>
      </w:pPr>
      <w:r>
        <w:t xml:space="preserve">Strengthen transition: justice gap as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enabling betrayal → prepares for Page 4.</w:t>
      </w:r>
    </w:p>
    <w:p>
      <w:r>
        <w:pict>
          <v:rect style="width:0;height:1.5pt" o:hralign="center" o:hrstd="t" o:hr="t"/>
        </w:pict>
      </w:r>
    </w:p>
    <w:bookmarkEnd w:id="22"/>
    <w:bookmarkStart w:id="23" w:name="page-4-the-stolen-horizon"/>
    <w:p>
      <w:pPr>
        <w:pStyle w:val="Heading2"/>
      </w:pPr>
      <w:r>
        <w:t xml:space="preserve">Page 4 – The Stolen Horizon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the theft of civilizational future; stolen confidence and ambition.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imagery (moon landing, nuclear strangled). Central emotional wound of collapse.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Expand with</w:t>
      </w:r>
      <w:r>
        <w:t xml:space="preserve"> </w:t>
      </w:r>
      <w:r>
        <w:rPr>
          <w:b/>
          <w:bCs/>
        </w:rPr>
        <w:t xml:space="preserve">detailed contrasts</w:t>
      </w:r>
      <w:r>
        <w:t xml:space="preserve">: promised supersonic travel vs. stagnation; Mars colonies promised vs. grounded bureaucracy.</w:t>
      </w:r>
    </w:p>
    <w:p>
      <w:pPr>
        <w:pStyle w:val="Compact"/>
        <w:numPr>
          <w:ilvl w:val="1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sensory imagery</w:t>
      </w:r>
      <w:r>
        <w:t xml:space="preserve">:</w:t>
      </w:r>
      <w:r>
        <w:t xml:space="preserve"> </w:t>
      </w:r>
      <w:r>
        <w:t xml:space="preserve">“children once sketched rocketships; now they sketch climate warnings.”</w:t>
      </w:r>
    </w:p>
    <w:p>
      <w:pPr>
        <w:pStyle w:val="Compact"/>
        <w:numPr>
          <w:ilvl w:val="1"/>
          <w:numId w:val="1008"/>
        </w:numPr>
      </w:pPr>
      <w:r>
        <w:t xml:space="preserve">Draw explicit link to</w:t>
      </w:r>
      <w:r>
        <w:t xml:space="preserve"> </w:t>
      </w:r>
      <w:r>
        <w:rPr>
          <w:b/>
          <w:bCs/>
        </w:rPr>
        <w:t xml:space="preserve">reader’s dashed expectations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age-5-the-trap-revealed"/>
    <w:p>
      <w:pPr>
        <w:pStyle w:val="Heading2"/>
      </w:pPr>
      <w:r>
        <w:t xml:space="preserve">Page 5 – The Trap Revealed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how systems (UN, Bretton Woods, NATO) institutionalized dependency. Collapse administered, not accidental.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but compressed — covers too much too fast.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Expand with</w:t>
      </w:r>
      <w:r>
        <w:t xml:space="preserve"> </w:t>
      </w:r>
      <w:r>
        <w:rPr>
          <w:b/>
          <w:bCs/>
        </w:rPr>
        <w:t xml:space="preserve">concrete mechanisms</w:t>
      </w:r>
      <w:r>
        <w:t xml:space="preserve">: treaties suspending sovereignty; peacekeeping as coercion.</w:t>
      </w:r>
    </w:p>
    <w:p>
      <w:pPr>
        <w:pStyle w:val="Compact"/>
        <w:numPr>
          <w:ilvl w:val="1"/>
          <w:numId w:val="1010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case vignette</w:t>
      </w:r>
      <w:r>
        <w:t xml:space="preserve"> </w:t>
      </w:r>
      <w:r>
        <w:t xml:space="preserve">(e.g., IMF conditionality).</w:t>
      </w:r>
    </w:p>
    <w:p>
      <w:pPr>
        <w:pStyle w:val="Compact"/>
        <w:numPr>
          <w:ilvl w:val="1"/>
          <w:numId w:val="1010"/>
        </w:numPr>
      </w:pPr>
      <w:r>
        <w:t xml:space="preserve">Strengthen transition: stolen horizon (Page 4) → institutionalized trap (Page 5).</w:t>
      </w:r>
    </w:p>
    <w:p>
      <w:r>
        <w:pict>
          <v:rect style="width:0;height:1.5pt" o:hralign="center" o:hrstd="t" o:hr="t"/>
        </w:pict>
      </w:r>
    </w:p>
    <w:bookmarkEnd w:id="24"/>
    <w:bookmarkStart w:id="25" w:name="page-6-early-alarm-silenced"/>
    <w:p>
      <w:pPr>
        <w:pStyle w:val="Heading2"/>
      </w:pPr>
      <w:r>
        <w:t xml:space="preserve">Page 6 – Early Alarm Silenced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how dissenters and whistleblowers were destroyed. Neutralized immune system.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VENONA/McCarthy example effective.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archetypal figures</w:t>
      </w:r>
      <w:r>
        <w:t xml:space="preserve">: generals ignored, scientists silenced, journalists ruined.</w:t>
      </w:r>
    </w:p>
    <w:p>
      <w:pPr>
        <w:pStyle w:val="Compact"/>
        <w:numPr>
          <w:ilvl w:val="1"/>
          <w:numId w:val="1012"/>
        </w:numPr>
      </w:pPr>
      <w:r>
        <w:t xml:space="preserve">Expand reader identification:</w:t>
      </w:r>
      <w:r>
        <w:t xml:space="preserve"> </w:t>
      </w:r>
      <w:r>
        <w:t xml:space="preserve">“Perhaps you knew someone who warned too early and paid for it.”</w:t>
      </w:r>
    </w:p>
    <w:p>
      <w:pPr>
        <w:pStyle w:val="Compact"/>
        <w:numPr>
          <w:ilvl w:val="1"/>
          <w:numId w:val="1012"/>
        </w:numPr>
      </w:pPr>
      <w:r>
        <w:t xml:space="preserve">Tie more tightly to Page 7 (collapse as judgment).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ollapse-as-judgment"/>
    <w:p>
      <w:pPr>
        <w:pStyle w:val="Heading2"/>
      </w:pPr>
      <w:r>
        <w:t xml:space="preserve">Page 7 – Collapse as Judgment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Concluding summation; collapse as sentence for betrayal unpunished. Direct call to reader to render verdict.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Excellent close — tribunal tone restated, urgency set.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Increase rhetorical weight: echo gavel metaphor from Page 1.</w:t>
      </w:r>
    </w:p>
    <w:p>
      <w:pPr>
        <w:pStyle w:val="Compact"/>
        <w:numPr>
          <w:ilvl w:val="1"/>
          <w:numId w:val="1014"/>
        </w:numPr>
      </w:pPr>
      <w:r>
        <w:t xml:space="preserve">Expand stakes of neutrality —</w:t>
      </w:r>
      <w:r>
        <w:t xml:space="preserve"> </w:t>
      </w:r>
      <w:r>
        <w:t xml:space="preserve">“to shrug is to carry out the execution.”</w:t>
      </w:r>
    </w:p>
    <w:p>
      <w:pPr>
        <w:pStyle w:val="Compact"/>
        <w:numPr>
          <w:ilvl w:val="1"/>
          <w:numId w:val="1014"/>
        </w:numPr>
      </w:pPr>
      <w:r>
        <w:t xml:space="preserve">End with an image bridging to Part II (collapse not fate → resistance failed due to captured immune system).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Strong arc: collapse framed as betrayal → innocence of people → justice gap → stolen horizon → institutional trap → silenced alarms → collapse as judgment. Escalates effectively.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Some subsections compressed (Pages 5 &amp; 6); abstraction on Pages 2–3.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historical vignettes, case illustrations, and reader-facing metaphors.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Easy +100–150 words per page, especially Pages 2, 4, 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2025-09-25T22:09:21Z</dcterms:created>
  <dcterms:modified xsi:type="dcterms:W3CDTF">2025-09-25T22:09:21Z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