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52d0a1808245137745beb73c63452a3945d9fd"/>
    <w:p>
      <w:pPr>
        <w:pStyle w:val="Heading1"/>
      </w:pPr>
      <w:r>
        <w:t xml:space="preserve">Structural &amp; Flow Analysis — Chapter 10:</w:t>
      </w:r>
      <w:r>
        <w:t xml:space="preserve"> </w:t>
      </w:r>
      <w:r>
        <w:rPr>
          <w:i/>
          <w:iCs/>
        </w:rPr>
        <w:t xml:space="preserve">Sovereignty Reclaimed</w:t>
      </w:r>
    </w:p>
    <w:p>
      <w:r>
        <w:pict>
          <v:rect style="width:0;height:1.5pt" o:hralign="center" o:hrstd="t" o:hr="t"/>
        </w:pict>
      </w:r>
    </w:p>
    <w:bookmarkStart w:id="20" w:name="X9e1cccb08657790b2d0eff7f58343a11630357d"/>
    <w:p>
      <w:pPr>
        <w:pStyle w:val="Heading2"/>
      </w:pPr>
      <w:r>
        <w:t xml:space="preserve">Page 1 – Opening Declaration: Freedom Requires Sovereignty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Set foundation for renewal — sovereignty as prerequisite for freedom.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establishes sovereignty as moral duty, not option.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reader resonance</w:t>
      </w:r>
      <w:r>
        <w:t xml:space="preserve">: what sovereignty looks like in daily life (secure food, energy, borders).</w:t>
      </w:r>
    </w:p>
    <w:p>
      <w:pPr>
        <w:pStyle w:val="Compact"/>
        <w:numPr>
          <w:ilvl w:val="1"/>
          <w:numId w:val="1002"/>
        </w:numPr>
      </w:pPr>
      <w:r>
        <w:t xml:space="preserve">Connect tribunal framing: without sovereignty, betrayal repeats.</w:t>
      </w:r>
    </w:p>
    <w:p>
      <w:pPr>
        <w:pStyle w:val="Compact"/>
        <w:numPr>
          <w:ilvl w:val="1"/>
          <w:numId w:val="1002"/>
        </w:numPr>
      </w:pPr>
      <w:r>
        <w:t xml:space="preserve">Amplify contrast between client vs. sovereign nation.</w:t>
      </w:r>
    </w:p>
    <w:p>
      <w:r>
        <w:pict>
          <v:rect style="width:0;height:1.5pt" o:hralign="center" o:hrstd="t" o:hr="t"/>
        </w:pict>
      </w:r>
    </w:p>
    <w:bookmarkEnd w:id="20"/>
    <w:bookmarkStart w:id="21" w:name="page-2-national-sovereignty"/>
    <w:p>
      <w:pPr>
        <w:pStyle w:val="Heading2"/>
      </w:pPr>
      <w:r>
        <w:t xml:space="preserve">Page 2 – National Sovereignty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Define borders, money, and defense as first layer.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Solid — reassertion of national control clear.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border failures, monetary manipulation, dependency on alliances.</w:t>
      </w:r>
    </w:p>
    <w:p>
      <w:pPr>
        <w:pStyle w:val="Compact"/>
        <w:numPr>
          <w:ilvl w:val="1"/>
          <w:numId w:val="1004"/>
        </w:numPr>
      </w:pPr>
      <w:r>
        <w:t xml:space="preserve">Sharpen betrayal contrast: compassion weaponized, sovereignty dissolved.</w:t>
      </w:r>
    </w:p>
    <w:p>
      <w:pPr>
        <w:pStyle w:val="Compact"/>
        <w:numPr>
          <w:ilvl w:val="1"/>
          <w:numId w:val="1004"/>
        </w:numPr>
      </w:pPr>
      <w:r>
        <w:t xml:space="preserve">Case vignettes: NAFTA, EU monetary constraints.</w:t>
      </w:r>
    </w:p>
    <w:p>
      <w:r>
        <w:pict>
          <v:rect style="width:0;height:1.5pt" o:hralign="center" o:hrstd="t" o:hr="t"/>
        </w:pict>
      </w:r>
    </w:p>
    <w:bookmarkEnd w:id="21"/>
    <w:bookmarkStart w:id="22" w:name="page-3-industrial-sovereignty"/>
    <w:p>
      <w:pPr>
        <w:pStyle w:val="Heading2"/>
      </w:pPr>
      <w:r>
        <w:t xml:space="preserve">Page 3 – Industrial Sovereignty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industry/energy independence as core of sovereignty.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but encyclopedic.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NAFTA hollowing, pandemic shortages, TSMC chokepoint.</w:t>
      </w:r>
    </w:p>
    <w:p>
      <w:pPr>
        <w:pStyle w:val="Compact"/>
        <w:numPr>
          <w:ilvl w:val="1"/>
          <w:numId w:val="1006"/>
        </w:numPr>
      </w:pPr>
      <w:r>
        <w:t xml:space="preserve">Contrast false energy choices: oil vs. wind vs. fission/space solar.</w:t>
      </w:r>
    </w:p>
    <w:p>
      <w:pPr>
        <w:pStyle w:val="Compact"/>
        <w:numPr>
          <w:ilvl w:val="1"/>
          <w:numId w:val="1006"/>
        </w:numPr>
      </w:pPr>
      <w:r>
        <w:t xml:space="preserve">More imagery: lifelines choked by foreign leverage.</w:t>
      </w:r>
    </w:p>
    <w:p>
      <w:r>
        <w:pict>
          <v:rect style="width:0;height:1.5pt" o:hralign="center" o:hrstd="t" o:hr="t"/>
        </w:pict>
      </w:r>
    </w:p>
    <w:bookmarkEnd w:id="22"/>
    <w:bookmarkStart w:id="23" w:name="page-4-cultural-sovereignty"/>
    <w:p>
      <w:pPr>
        <w:pStyle w:val="Heading2"/>
      </w:pPr>
      <w:r>
        <w:t xml:space="preserve">Page 4 – Cultural Sovereignty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Assert identity and continuity as essential to sovereignty.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memory, rituals, language emphasized.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Illustrate with</w:t>
      </w:r>
      <w:r>
        <w:t xml:space="preserve"> </w:t>
      </w:r>
      <w:r>
        <w:rPr>
          <w:b/>
          <w:bCs/>
        </w:rPr>
        <w:t xml:space="preserve">cases</w:t>
      </w:r>
      <w:r>
        <w:t xml:space="preserve">: monuments toppled, curricula rewritten, symbols desecrated.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contrast</w:t>
      </w:r>
      <w:r>
        <w:t xml:space="preserve">: sovereign culture confident, captured culture ashamed.</w:t>
      </w:r>
    </w:p>
    <w:p>
      <w:pPr>
        <w:pStyle w:val="Compact"/>
        <w:numPr>
          <w:ilvl w:val="1"/>
          <w:numId w:val="1008"/>
        </w:numPr>
      </w:pPr>
      <w:r>
        <w:t xml:space="preserve">Strengthen metaphor: culture as shield for sovereignty.</w:t>
      </w:r>
    </w:p>
    <w:p>
      <w:r>
        <w:pict>
          <v:rect style="width:0;height:1.5pt" o:hralign="center" o:hrstd="t" o:hr="t"/>
        </w:pict>
      </w:r>
    </w:p>
    <w:bookmarkEnd w:id="23"/>
    <w:bookmarkStart w:id="24" w:name="page-5-collapse-by-dependency"/>
    <w:p>
      <w:pPr>
        <w:pStyle w:val="Heading2"/>
      </w:pPr>
      <w:r>
        <w:t xml:space="preserve">Page 5 – Collapse by Dependency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dependency as disguised collapse.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NAFTA, TSMC example already present.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Expand with</w:t>
      </w:r>
      <w:r>
        <w:t xml:space="preserve"> </w:t>
      </w:r>
      <w:r>
        <w:rPr>
          <w:b/>
          <w:bCs/>
        </w:rPr>
        <w:t xml:space="preserve">examples</w:t>
      </w:r>
      <w:r>
        <w:t xml:space="preserve">: medical imports, rare earths, energy reliance.</w:t>
      </w:r>
    </w:p>
    <w:p>
      <w:pPr>
        <w:pStyle w:val="Compact"/>
        <w:numPr>
          <w:ilvl w:val="1"/>
          <w:numId w:val="1010"/>
        </w:numPr>
      </w:pPr>
      <w:r>
        <w:t xml:space="preserve">More emotional framing: dependency = silent conquest.</w:t>
      </w:r>
    </w:p>
    <w:p>
      <w:pPr>
        <w:pStyle w:val="Compact"/>
        <w:numPr>
          <w:ilvl w:val="1"/>
          <w:numId w:val="1010"/>
        </w:numPr>
      </w:pPr>
      <w:r>
        <w:t xml:space="preserve">Build sharper bridge to restoration blueprint.</w:t>
      </w:r>
    </w:p>
    <w:p>
      <w:r>
        <w:pict>
          <v:rect style="width:0;height:1.5pt" o:hralign="center" o:hrstd="t" o:hr="t"/>
        </w:pict>
      </w:r>
    </w:p>
    <w:bookmarkEnd w:id="24"/>
    <w:bookmarkStart w:id="25" w:name="page-6-blueprint-for-restoration"/>
    <w:p>
      <w:pPr>
        <w:pStyle w:val="Heading2"/>
      </w:pPr>
      <w:r>
        <w:t xml:space="preserve">Page 6 – Blueprint for Restoration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Lay out steps to rebuild sovereignty.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Comprehensive but reads like list.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narrative rhythm</w:t>
      </w:r>
      <w:r>
        <w:t xml:space="preserve">:</w:t>
      </w:r>
      <w:r>
        <w:t xml:space="preserve"> </w:t>
      </w:r>
      <w:r>
        <w:t xml:space="preserve">“energy must be abundant… industry must be rebuilt… culture must be restored.”</w:t>
      </w:r>
    </w:p>
    <w:p>
      <w:pPr>
        <w:pStyle w:val="Compact"/>
        <w:numPr>
          <w:ilvl w:val="1"/>
          <w:numId w:val="1012"/>
        </w:numPr>
      </w:pPr>
      <w:r>
        <w:t xml:space="preserve">Insert imagery: welders returning, reactors humming, libraries full.</w:t>
      </w:r>
    </w:p>
    <w:p>
      <w:pPr>
        <w:pStyle w:val="Compact"/>
        <w:numPr>
          <w:ilvl w:val="1"/>
          <w:numId w:val="1012"/>
        </w:numPr>
      </w:pPr>
      <w:r>
        <w:t xml:space="preserve">Tie restoration to Part IV themes of renewal and confederation.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losing-call"/>
    <w:p>
      <w:pPr>
        <w:pStyle w:val="Heading2"/>
      </w:pPr>
      <w:r>
        <w:t xml:space="preserve">Page 7 – Closing Call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Summon reader — sovereignty or subjugation, no middle path.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ultimatum tone effective.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4"/>
        </w:numPr>
      </w:pPr>
      <w:r>
        <w:t xml:space="preserve">Add rhetorical echo of tribunal:</w:t>
      </w:r>
      <w:r>
        <w:t xml:space="preserve"> </w:t>
      </w:r>
      <w:r>
        <w:t xml:space="preserve">“the gavel falls again here.”</w:t>
      </w:r>
    </w:p>
    <w:p>
      <w:pPr>
        <w:pStyle w:val="Compact"/>
        <w:numPr>
          <w:ilvl w:val="1"/>
          <w:numId w:val="1014"/>
        </w:numPr>
      </w:pPr>
      <w:r>
        <w:t xml:space="preserve">Heighten imagery: flag waving vs. hollow song of liberty.</w:t>
      </w:r>
    </w:p>
    <w:p>
      <w:pPr>
        <w:pStyle w:val="Compact"/>
        <w:numPr>
          <w:ilvl w:val="1"/>
          <w:numId w:val="1014"/>
        </w:numPr>
      </w:pPr>
      <w:r>
        <w:t xml:space="preserve">Stronger bridge forward: sovereignty reclaimed → renewal imperative.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Strong foundation for Part IV — national, industrial, cultural sovereignty mapped, dependency indicted, blueprint offered.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Encyclopedic tone; risks checklist feel.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vivid examples, reader resonance, and rhetorical rhythm.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2–6.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2025-09-25T22:13:30Z</dcterms:created>
  <dcterms:modified xsi:type="dcterms:W3CDTF">2025-09-25T22:13:30Z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