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9d44aae20a912127d1c3012a158bdac6ec5d9a"/>
    <w:p>
      <w:pPr>
        <w:pStyle w:val="Heading1"/>
      </w:pPr>
      <w:r>
        <w:t xml:space="preserve">Structural &amp; Flow Analysis — Chapter 12:</w:t>
      </w:r>
      <w:r>
        <w:t xml:space="preserve"> </w:t>
      </w:r>
      <w:r>
        <w:rPr>
          <w:i/>
          <w:iCs/>
        </w:rPr>
        <w:t xml:space="preserve">The Confederation Principle</w:t>
      </w:r>
    </w:p>
    <w:p>
      <w:r>
        <w:pict>
          <v:rect style="width:0;height:1.5pt" o:hralign="center" o:hrstd="t" o:hr="t"/>
        </w:pict>
      </w:r>
    </w:p>
    <w:bookmarkStart w:id="20" w:name="page-1-define-confederation"/>
    <w:p>
      <w:pPr>
        <w:pStyle w:val="Heading2"/>
      </w:pPr>
      <w:r>
        <w:t xml:space="preserve">Page 1 – Define Confederation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Introduce confederation as voluntary network of sovereign peers.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clear distinction between empire vs. confederation.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reader-facing imagery</w:t>
      </w:r>
      <w:r>
        <w:t xml:space="preserve">: lattice, shield, bulwark.</w:t>
      </w:r>
    </w:p>
    <w:p>
      <w:pPr>
        <w:pStyle w:val="Compact"/>
        <w:numPr>
          <w:ilvl w:val="1"/>
          <w:numId w:val="1002"/>
        </w:numPr>
      </w:pPr>
      <w:r>
        <w:t xml:space="preserve">Insert historical contrasts: solitary sovereigns defeated vs. confederated resilience.</w:t>
      </w:r>
    </w:p>
    <w:p>
      <w:pPr>
        <w:pStyle w:val="Compact"/>
        <w:numPr>
          <w:ilvl w:val="1"/>
          <w:numId w:val="1002"/>
        </w:numPr>
      </w:pPr>
      <w:r>
        <w:t xml:space="preserve">Anchor as next step after sovereignty reclaimed.</w:t>
      </w:r>
    </w:p>
    <w:p>
      <w:r>
        <w:pict>
          <v:rect style="width:0;height:1.5pt" o:hralign="center" o:hrstd="t" o:hr="t"/>
        </w:pict>
      </w:r>
    </w:p>
    <w:bookmarkEnd w:id="20"/>
    <w:bookmarkStart w:id="21" w:name="page-2-negative-lessons"/>
    <w:p>
      <w:pPr>
        <w:pStyle w:val="Heading2"/>
      </w:pPr>
      <w:r>
        <w:t xml:space="preserve">Page 2 – Negative Lessons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Warn against failed integrations (EU, WTO).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highlights coercive drift of global bodies.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concrete examples</w:t>
      </w:r>
      <w:r>
        <w:t xml:space="preserve">: EU migration mandates, WTO labor arbitrage.</w:t>
      </w:r>
    </w:p>
    <w:p>
      <w:pPr>
        <w:pStyle w:val="Compact"/>
        <w:numPr>
          <w:ilvl w:val="1"/>
          <w:numId w:val="1004"/>
        </w:numPr>
      </w:pPr>
      <w:r>
        <w:t xml:space="preserve">Heighten cautionary tone: cure becoming disease.</w:t>
      </w:r>
    </w:p>
    <w:p>
      <w:pPr>
        <w:pStyle w:val="Compact"/>
        <w:numPr>
          <w:ilvl w:val="1"/>
          <w:numId w:val="1004"/>
        </w:numPr>
      </w:pPr>
      <w:r>
        <w:t xml:space="preserve">Bridge forward: design must avoid same capture.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onditions-for-success"/>
    <w:p>
      <w:pPr>
        <w:pStyle w:val="Heading2"/>
      </w:pPr>
      <w:r>
        <w:t xml:space="preserve">Page 3 – Conditions for Success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Lay prerequisites for entry — strength-before-entry principle.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reciprocity emphasized, weak states excluded.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subsidy-dependent members dragging alliances down.</w:t>
      </w:r>
    </w:p>
    <w:p>
      <w:pPr>
        <w:pStyle w:val="Compact"/>
        <w:numPr>
          <w:ilvl w:val="1"/>
          <w:numId w:val="1006"/>
        </w:numPr>
      </w:pPr>
      <w:r>
        <w:t xml:space="preserve">Contrast with voluntary strength:</w:t>
      </w:r>
      <w:r>
        <w:t xml:space="preserve"> </w:t>
      </w:r>
      <w:r>
        <w:t xml:space="preserve">“hospital ward vs. peer covenant.”</w:t>
      </w:r>
    </w:p>
    <w:p>
      <w:pPr>
        <w:pStyle w:val="Compact"/>
        <w:numPr>
          <w:ilvl w:val="1"/>
          <w:numId w:val="1006"/>
        </w:numPr>
      </w:pPr>
      <w:r>
        <w:t xml:space="preserve">Emphasize abundance requirement.</w:t>
      </w:r>
    </w:p>
    <w:p>
      <w:r>
        <w:pict>
          <v:rect style="width:0;height:1.5pt" o:hralign="center" o:hrstd="t" o:hr="t"/>
        </w:pict>
      </w:r>
    </w:p>
    <w:bookmarkEnd w:id="22"/>
    <w:bookmarkStart w:id="23" w:name="page-4-justice-between-states"/>
    <w:p>
      <w:pPr>
        <w:pStyle w:val="Heading2"/>
      </w:pPr>
      <w:r>
        <w:t xml:space="preserve">Page 4 – Justice Between States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Outline mechanisms for dispute resolution without tyranny.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arbitration without permanent throne.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illustrations</w:t>
      </w:r>
      <w:r>
        <w:t xml:space="preserve">: rotating panels, temporary councils.</w:t>
      </w:r>
    </w:p>
    <w:p>
      <w:pPr>
        <w:pStyle w:val="Compact"/>
        <w:numPr>
          <w:ilvl w:val="1"/>
          <w:numId w:val="1008"/>
        </w:numPr>
      </w:pPr>
      <w:r>
        <w:t xml:space="preserve">Sharpen distinction: mediation vs. centralization.</w:t>
      </w:r>
    </w:p>
    <w:p>
      <w:pPr>
        <w:pStyle w:val="Compact"/>
        <w:numPr>
          <w:ilvl w:val="1"/>
          <w:numId w:val="1008"/>
        </w:numPr>
      </w:pPr>
      <w:r>
        <w:t xml:space="preserve">More vivid imagery of transparency and exit doors.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psychological-shift"/>
    <w:p>
      <w:pPr>
        <w:pStyle w:val="Heading2"/>
      </w:pPr>
      <w:r>
        <w:t xml:space="preserve">Page 5 – Psychological Shift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confederation requires vigilant citizens, not passive subjects.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citizens reframed as guardians of sovereignty.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 of civic culture</w:t>
      </w:r>
      <w:r>
        <w:t xml:space="preserve">: honoring vigilance, solidarity across borders.</w:t>
      </w:r>
    </w:p>
    <w:p>
      <w:pPr>
        <w:pStyle w:val="Compact"/>
        <w:numPr>
          <w:ilvl w:val="1"/>
          <w:numId w:val="1010"/>
        </w:numPr>
      </w:pPr>
      <w:r>
        <w:t xml:space="preserve">Metaphor: every citizen a sentry at the frontier.</w:t>
      </w:r>
    </w:p>
    <w:p>
      <w:pPr>
        <w:pStyle w:val="Compact"/>
        <w:numPr>
          <w:ilvl w:val="1"/>
          <w:numId w:val="1010"/>
        </w:numPr>
      </w:pPr>
      <w:r>
        <w:t xml:space="preserve">Strengthen bridge to future vision.</w:t>
      </w:r>
    </w:p>
    <w:p>
      <w:r>
        <w:pict>
          <v:rect style="width:0;height:1.5pt" o:hralign="center" o:hrstd="t" o:hr="t"/>
        </w:pict>
      </w:r>
    </w:p>
    <w:bookmarkEnd w:id="24"/>
    <w:bookmarkStart w:id="25" w:name="page-6-future-vision"/>
    <w:p>
      <w:pPr>
        <w:pStyle w:val="Heading2"/>
      </w:pPr>
      <w:r>
        <w:t xml:space="preserve">Page 6 – Future Vision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Present confederation as launchpad for expansion.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ties to orbital industry, space colonization.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technologies in embryo</w:t>
      </w:r>
      <w:r>
        <w:t xml:space="preserve">: nuclear propulsion, closed-loop life support.</w:t>
      </w:r>
    </w:p>
    <w:p>
      <w:pPr>
        <w:pStyle w:val="Compact"/>
        <w:numPr>
          <w:ilvl w:val="1"/>
          <w:numId w:val="1012"/>
        </w:numPr>
      </w:pPr>
      <w:r>
        <w:t xml:space="preserve">Emphasize expansion as insurance against catastrophe.</w:t>
      </w:r>
    </w:p>
    <w:p>
      <w:pPr>
        <w:pStyle w:val="Compact"/>
        <w:numPr>
          <w:ilvl w:val="1"/>
          <w:numId w:val="1012"/>
        </w:numPr>
      </w:pPr>
      <w:r>
        <w:t xml:space="preserve">Heighten moral project tone: light filling the skies.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structure-that-can-endure"/>
    <w:p>
      <w:pPr>
        <w:pStyle w:val="Heading2"/>
      </w:pPr>
      <w:r>
        <w:t xml:space="preserve">Page 7 – Closing: Structure That Can Endure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Close with permanence of lattice, preventing capture.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structure framed as skeleton of continuity.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imagery</w:t>
      </w:r>
      <w:r>
        <w:t xml:space="preserve">: lattice rerouting around damaged nodes.</w:t>
      </w:r>
    </w:p>
    <w:p>
      <w:pPr>
        <w:pStyle w:val="Compact"/>
        <w:numPr>
          <w:ilvl w:val="1"/>
          <w:numId w:val="1014"/>
        </w:numPr>
      </w:pPr>
      <w:r>
        <w:t xml:space="preserve">Restate ultimatum: without confederation, correction collapses.</w:t>
      </w:r>
    </w:p>
    <w:p>
      <w:pPr>
        <w:pStyle w:val="Compact"/>
        <w:numPr>
          <w:ilvl w:val="1"/>
          <w:numId w:val="1014"/>
        </w:numPr>
      </w:pPr>
      <w:r>
        <w:t xml:space="preserve">Bridge into Ch. 13 (renaissance of industry and ecology).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Well-structured — principle, lessons, conditions, justice, psychology, vision, close.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Risk of repetition with Ch. 14 unless carefully distinguished.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historical examples, civic illustrations, technical details, and imagery.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2025-09-25T22:14:32Z</dcterms:created>
  <dcterms:modified xsi:type="dcterms:W3CDTF">2025-09-25T22:14:32Z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