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e6165f8cc01f239dc233f10b782eed38acebc6"/>
    <w:p>
      <w:pPr>
        <w:pStyle w:val="Heading1"/>
      </w:pPr>
      <w:r>
        <w:t xml:space="preserve">Structural &amp; Flow Analysis — Chapter 4:</w:t>
      </w:r>
      <w:r>
        <w:t xml:space="preserve"> </w:t>
      </w:r>
      <w:r>
        <w:rPr>
          <w:i/>
          <w:iCs/>
        </w:rPr>
        <w:t xml:space="preserve">Ideological Capture and Moral Inversion</w:t>
      </w:r>
    </w:p>
    <w:p>
      <w:r>
        <w:pict>
          <v:rect style="width:0;height:1.5pt" o:hralign="center" o:hrstd="t" o:hr="t"/>
        </w:pict>
      </w:r>
    </w:p>
    <w:bookmarkStart w:id="20" w:name="page-1-the-great-reframing"/>
    <w:p>
      <w:pPr>
        <w:pStyle w:val="Heading2"/>
      </w:pPr>
      <w:r>
        <w:t xml:space="preserve">Page 1 – The Great Reframing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the moral map was redrawn — continuity reframed as oppression, loyalty as threat.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vivid depiction of inversion, sets up cultural capture.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 </w:t>
      </w:r>
      <w:r>
        <w:t xml:space="preserve">of language reframing:</w:t>
      </w:r>
      <w:r>
        <w:t xml:space="preserve"> </w:t>
      </w:r>
      <w:r>
        <w:t xml:space="preserve">“equity”</w:t>
      </w:r>
      <w:r>
        <w:t xml:space="preserve"> </w:t>
      </w:r>
      <w:r>
        <w:t xml:space="preserve">vs. equality,</w:t>
      </w:r>
      <w:r>
        <w:t xml:space="preserve"> </w:t>
      </w:r>
      <w:r>
        <w:t xml:space="preserve">“liberation”</w:t>
      </w:r>
      <w:r>
        <w:t xml:space="preserve"> </w:t>
      </w:r>
      <w:r>
        <w:t xml:space="preserve">vs. continuity.</w:t>
      </w:r>
    </w:p>
    <w:p>
      <w:pPr>
        <w:pStyle w:val="Compact"/>
        <w:numPr>
          <w:ilvl w:val="1"/>
          <w:numId w:val="1002"/>
        </w:numPr>
      </w:pPr>
      <w:r>
        <w:t xml:space="preserve">Expand imagery:</w:t>
      </w:r>
      <w:r>
        <w:t xml:space="preserve"> </w:t>
      </w:r>
      <w:r>
        <w:t xml:space="preserve">“the map of meaning redrawn.”</w:t>
      </w:r>
    </w:p>
    <w:p>
      <w:pPr>
        <w:pStyle w:val="Compact"/>
        <w:numPr>
          <w:ilvl w:val="1"/>
          <w:numId w:val="1002"/>
        </w:numPr>
      </w:pPr>
      <w:r>
        <w:t xml:space="preserve">Smooth bridge to Gramsci’s strategy (Page 2).</w:t>
      </w:r>
    </w:p>
    <w:p>
      <w:r>
        <w:pict>
          <v:rect style="width:0;height:1.5pt" o:hralign="center" o:hrstd="t" o:hr="t"/>
        </w:pict>
      </w:r>
    </w:p>
    <w:bookmarkEnd w:id="20"/>
    <w:bookmarkStart w:id="21" w:name="page-2-gramscis-long-march"/>
    <w:p>
      <w:pPr>
        <w:pStyle w:val="Heading2"/>
      </w:pPr>
      <w:r>
        <w:t xml:space="preserve">Page 2 – Gramsci’s Long March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patient, deliberate cultural takeover.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Good — identifies universities, media, arts as citadels.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4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historical specifics</w:t>
      </w:r>
      <w:r>
        <w:t xml:space="preserve">: 1960s university revolts, media framing of history.</w:t>
      </w:r>
    </w:p>
    <w:p>
      <w:pPr>
        <w:pStyle w:val="Compact"/>
        <w:numPr>
          <w:ilvl w:val="1"/>
          <w:numId w:val="1004"/>
        </w:numPr>
      </w:pPr>
      <w:r>
        <w:t xml:space="preserve">Illustrate saturation:</w:t>
      </w:r>
      <w:r>
        <w:t xml:space="preserve"> </w:t>
      </w:r>
      <w:r>
        <w:t xml:space="preserve">“revolution feels like graduation.”</w:t>
      </w:r>
    </w:p>
    <w:p>
      <w:pPr>
        <w:pStyle w:val="Compact"/>
        <w:numPr>
          <w:ilvl w:val="1"/>
          <w:numId w:val="1004"/>
        </w:numPr>
      </w:pPr>
      <w:r>
        <w:t xml:space="preserve">Sharpen transition into Page 3: intellectual machinery that enabled capture.</w:t>
      </w:r>
    </w:p>
    <w:p>
      <w:r>
        <w:pict>
          <v:rect style="width:0;height:1.5pt" o:hralign="center" o:hrstd="t" o:hr="t"/>
        </w:pict>
      </w:r>
    </w:p>
    <w:bookmarkEnd w:id="21"/>
    <w:bookmarkStart w:id="22" w:name="page-3-critical-theory-frankfurt-school"/>
    <w:p>
      <w:pPr>
        <w:pStyle w:val="Heading2"/>
      </w:pPr>
      <w:r>
        <w:t xml:space="preserve">Page 3 – Critical Theory &amp; Frankfurt School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Introduce intellectual engine of capture.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Clear, but dense.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6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everyday manifestations</w:t>
      </w:r>
      <w:r>
        <w:t xml:space="preserve">: merit as privilege, beauty as elitism.</w:t>
      </w:r>
    </w:p>
    <w:p>
      <w:pPr>
        <w:pStyle w:val="Compact"/>
        <w:numPr>
          <w:ilvl w:val="1"/>
          <w:numId w:val="1006"/>
        </w:numPr>
      </w:pPr>
      <w:r>
        <w:t xml:space="preserve">Contrast between academic jargon vs. lived consequences.</w:t>
      </w:r>
    </w:p>
    <w:p>
      <w:pPr>
        <w:pStyle w:val="Compact"/>
        <w:numPr>
          <w:ilvl w:val="1"/>
          <w:numId w:val="1006"/>
        </w:numPr>
      </w:pPr>
      <w:r>
        <w:t xml:space="preserve">Metaphor:</w:t>
      </w:r>
      <w:r>
        <w:t xml:space="preserve"> </w:t>
      </w:r>
      <w:r>
        <w:t xml:space="preserve">“a workshop that forged weapons of meaning.”</w:t>
      </w:r>
    </w:p>
    <w:p>
      <w:r>
        <w:pict>
          <v:rect style="width:0;height:1.5pt" o:hralign="center" o:hrstd="t" o:hr="t"/>
        </w:pict>
      </w:r>
    </w:p>
    <w:bookmarkEnd w:id="22"/>
    <w:bookmarkStart w:id="23" w:name="page-4-expansion-of-grievance-categories"/>
    <w:p>
      <w:pPr>
        <w:pStyle w:val="Heading2"/>
      </w:pPr>
      <w:r>
        <w:t xml:space="preserve">Page 4 – Expansion of Grievance Categories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how grievance became perpetual fuel.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Effective — illustrates metastasis of grievances.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08"/>
        </w:numPr>
      </w:pPr>
      <w:r>
        <w:t xml:space="preserve">Insert</w:t>
      </w:r>
      <w:r>
        <w:t xml:space="preserve"> </w:t>
      </w:r>
      <w:r>
        <w:rPr>
          <w:b/>
          <w:bCs/>
        </w:rPr>
        <w:t xml:space="preserve">policy/cultural examples</w:t>
      </w:r>
      <w:r>
        <w:t xml:space="preserve">: movements expanding beyond original causes.</w:t>
      </w:r>
    </w:p>
    <w:p>
      <w:pPr>
        <w:pStyle w:val="Compact"/>
        <w:numPr>
          <w:ilvl w:val="1"/>
          <w:numId w:val="1008"/>
        </w:numPr>
      </w:pPr>
      <w:r>
        <w:t xml:space="preserve">Show cycle of endless escalation.</w:t>
      </w:r>
    </w:p>
    <w:p>
      <w:pPr>
        <w:pStyle w:val="Compact"/>
        <w:numPr>
          <w:ilvl w:val="1"/>
          <w:numId w:val="1008"/>
        </w:numPr>
      </w:pPr>
      <w:r>
        <w:t xml:space="preserve">Tie to perpetual revolution — a treadmill without terminus.</w:t>
      </w:r>
    </w:p>
    <w:p>
      <w:r>
        <w:pict>
          <v:rect style="width:0;height:1.5pt" o:hralign="center" o:hrstd="t" o:hr="t"/>
        </w:pict>
      </w:r>
    </w:p>
    <w:bookmarkEnd w:id="23"/>
    <w:bookmarkStart w:id="24" w:name="page-5-moral-inversion-complete"/>
    <w:p>
      <w:pPr>
        <w:pStyle w:val="Heading2"/>
      </w:pPr>
      <w:r>
        <w:t xml:space="preserve">Page 5 – Moral Inversion Complete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Culmination — defense of survival reframed as immoral.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Very strong — captures inversion’s peak.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0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concrete cases</w:t>
      </w:r>
      <w:r>
        <w:t xml:space="preserve">: defending family = bigotry, meritocracy = discrimination.</w:t>
      </w:r>
    </w:p>
    <w:p>
      <w:pPr>
        <w:pStyle w:val="Compact"/>
        <w:numPr>
          <w:ilvl w:val="1"/>
          <w:numId w:val="1010"/>
        </w:numPr>
      </w:pPr>
      <w:r>
        <w:t xml:space="preserve">Expand psychological weight: punishment of virtue, reward of vice.</w:t>
      </w:r>
    </w:p>
    <w:p>
      <w:pPr>
        <w:pStyle w:val="Compact"/>
        <w:numPr>
          <w:ilvl w:val="1"/>
          <w:numId w:val="1010"/>
        </w:numPr>
      </w:pPr>
      <w:r>
        <w:t xml:space="preserve">Ensure clear emotional build into Page 6 (demoralized citizen).</w:t>
      </w:r>
    </w:p>
    <w:p>
      <w:r>
        <w:pict>
          <v:rect style="width:0;height:1.5pt" o:hralign="center" o:hrstd="t" o:hr="t"/>
        </w:pict>
      </w:r>
    </w:p>
    <w:bookmarkEnd w:id="24"/>
    <w:bookmarkStart w:id="25" w:name="page-6-the-demoralized-citizen"/>
    <w:p>
      <w:pPr>
        <w:pStyle w:val="Heading2"/>
      </w:pPr>
      <w:r>
        <w:t xml:space="preserve">Page 6 – The Demoralized Citizen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internalization of inversion — citizens police themselves.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Solid — vivid depiction of self-censorship.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2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archetypal scenes</w:t>
      </w:r>
      <w:r>
        <w:t xml:space="preserve">: neighbor denouncing neighbor, workplaces purging dissent.</w:t>
      </w:r>
    </w:p>
    <w:p>
      <w:pPr>
        <w:pStyle w:val="Compact"/>
        <w:numPr>
          <w:ilvl w:val="1"/>
          <w:numId w:val="1012"/>
        </w:numPr>
      </w:pPr>
      <w:r>
        <w:t xml:space="preserve">Emphasize psychology: fear of social death more than physical punishment.</w:t>
      </w:r>
    </w:p>
    <w:p>
      <w:pPr>
        <w:pStyle w:val="Compact"/>
        <w:numPr>
          <w:ilvl w:val="1"/>
          <w:numId w:val="1012"/>
        </w:numPr>
      </w:pPr>
      <w:r>
        <w:t xml:space="preserve">Transition cleanly into immune system breakdown (Page 7).</w:t>
      </w:r>
    </w:p>
    <w:p>
      <w:r>
        <w:pict>
          <v:rect style="width:0;height:1.5pt" o:hralign="center" o:hrstd="t" o:hr="t"/>
        </w:pict>
      </w:r>
    </w:p>
    <w:bookmarkEnd w:id="25"/>
    <w:bookmarkStart w:id="26" w:name="page-7-immune-system-neutralized"/>
    <w:p>
      <w:pPr>
        <w:pStyle w:val="Heading2"/>
      </w:pPr>
      <w:r>
        <w:t xml:space="preserve">Page 7 – Immune System Neutralized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Structural role:</w:t>
      </w:r>
      <w:r>
        <w:t xml:space="preserve"> </w:t>
      </w:r>
      <w:r>
        <w:t xml:space="preserve">Show cultural antibodies turned against defenders; civilization terminal.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Flow quality:</w:t>
      </w:r>
      <w:r>
        <w:t xml:space="preserve"> </w:t>
      </w:r>
      <w:r>
        <w:t xml:space="preserve">Strong — closes Part II’s thematic turn.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Expansion opportunities:</w:t>
      </w:r>
    </w:p>
    <w:p>
      <w:pPr>
        <w:pStyle w:val="Compact"/>
        <w:numPr>
          <w:ilvl w:val="1"/>
          <w:numId w:val="1014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examples</w:t>
      </w:r>
      <w:r>
        <w:t xml:space="preserve">: monuments erected to betrayers, heroes vilified.</w:t>
      </w:r>
    </w:p>
    <w:p>
      <w:pPr>
        <w:pStyle w:val="Compact"/>
        <w:numPr>
          <w:ilvl w:val="1"/>
          <w:numId w:val="1014"/>
        </w:numPr>
      </w:pPr>
      <w:r>
        <w:t xml:space="preserve">Expand on teaching children loyalty as vice.</w:t>
      </w:r>
    </w:p>
    <w:p>
      <w:pPr>
        <w:pStyle w:val="Compact"/>
        <w:numPr>
          <w:ilvl w:val="1"/>
          <w:numId w:val="1014"/>
        </w:numPr>
      </w:pPr>
      <w:r>
        <w:t xml:space="preserve">Ensure clear pivot to Ch. 5 (conditioning mechanisms of control).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Overall flow:</w:t>
      </w:r>
      <w:r>
        <w:t xml:space="preserve"> </w:t>
      </w:r>
      <w:r>
        <w:t xml:space="preserve">Strong escalation — reframing → strategy → theory → grievances → inversion → demoralization → immune collapse.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Weaknesses:</w:t>
      </w:r>
      <w:r>
        <w:t xml:space="preserve"> </w:t>
      </w:r>
      <w:r>
        <w:t xml:space="preserve">Dense in places; theory-to-mass adoption leap too quick.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Add concrete historical/cultural examples and more reader-facing imagery.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Word growth potential:</w:t>
      </w:r>
      <w:r>
        <w:t xml:space="preserve"> </w:t>
      </w:r>
      <w:r>
        <w:t xml:space="preserve">+150–200 words per page, especially Pages 2–4.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2025-09-25T22:10:47Z</dcterms:created>
  <dcterms:modified xsi:type="dcterms:W3CDTF">2025-09-25T22:10:47Z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