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12 — The Confederation Principle (Page-by-Page Outline)</w:t>
      </w:r>
    </w:p>
    <w:p>
      <w:pPr>
        <w:pStyle w:val="Heading1"/>
      </w:pPr>
      <w:r>
        <w:t>Page 1 – Opening Image: Beyond the Single Nation</w:t>
      </w:r>
    </w:p>
    <w:p>
      <w:r>
        <w:t>Purpose: Show that renewal cannot remain isolated — strong sovereign nations must join in voluntary association. Confederation is introduced as a network of peers, not a throne. Psychological Layer: Reader feels expansion — renewal grows into a larger project.</w:t>
      </w:r>
    </w:p>
    <w:p>
      <w:pPr>
        <w:pStyle w:val="Heading1"/>
      </w:pPr>
      <w:r>
        <w:t>Page 2 – Negative Lessons</w:t>
      </w:r>
    </w:p>
    <w:p>
      <w:r>
        <w:t>Purpose: Show what confederation must avoid — coercive unions, centralized empires, technocratic cages. Use examples like the EU or WTO as cautionary tales. Psychological Layer: Reader feels caution — not every 'union' is liberation.</w:t>
      </w:r>
    </w:p>
    <w:p>
      <w:pPr>
        <w:pStyle w:val="Heading1"/>
      </w:pPr>
      <w:r>
        <w:t>Page 3 – Conditions for Entry</w:t>
      </w:r>
    </w:p>
    <w:p>
      <w:r>
        <w:t>Purpose: Make clear that membership must be earned — no weak or dependent states admitted. Entry requires sovereignty, stability, reciprocity. Psychological Layer: Reader feels respect — confederation is a standard, not a charity.</w:t>
      </w:r>
    </w:p>
    <w:p>
      <w:pPr>
        <w:pStyle w:val="Heading1"/>
      </w:pPr>
      <w:r>
        <w:t>Page 4 – Justice Between States</w:t>
      </w:r>
    </w:p>
    <w:p>
      <w:r>
        <w:t>Purpose: Show how disputes are resolved without a supreme ruler. Peer arbitration, transparency, no compulsion against conscience. Psychological Layer: Reader feels reassured — sovereignty preserved even in conflict resolution.</w:t>
      </w:r>
    </w:p>
    <w:p>
      <w:pPr>
        <w:pStyle w:val="Heading1"/>
      </w:pPr>
      <w:r>
        <w:t>Page 5 – Crisis Mechanisms</w:t>
      </w:r>
    </w:p>
    <w:p>
      <w:r>
        <w:t>Purpose: Show that confederation can act decisively during emergencies without becoming despotic. Tiered decision-making: unilateral, supermajority, unanimity for irreversible acts. Psychological Layer: Reader feels confidence — this is robust but not tyrannical.</w:t>
      </w:r>
    </w:p>
    <w:p>
      <w:pPr>
        <w:pStyle w:val="Heading1"/>
      </w:pPr>
      <w:r>
        <w:t>Page 6 – The Psychological Shift</w:t>
      </w:r>
    </w:p>
    <w:p>
      <w:r>
        <w:t>Purpose: Show that confederation requires a new kind of citizen — co-guardian of sovereignty, not passive subject. Solidarity culture must be taught: attack on one is attack on all. Psychological Layer: Reader feels called to a higher civic role.</w:t>
      </w:r>
    </w:p>
    <w:p>
      <w:pPr>
        <w:pStyle w:val="Heading1"/>
      </w:pPr>
      <w:r>
        <w:t>Page 7 – Closing: A Skeleton That Can Endure</w:t>
      </w:r>
    </w:p>
    <w:p>
      <w:r>
        <w:t>Purpose: End with a vision of confederation as a frame for centuries — a lattice too resilient to be broken in one blow. Transition to Chapter 13, where this skeleton will be fleshed out with industry, beauty, and life. Closing Line Suggestion: 'Build this skeleton now, so the children of your children will live not in fear of betrayal but in the light of continuity.'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