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13 — Industrial and Ecological Renaissance (Page-by-Page Outline)</w:t>
      </w:r>
    </w:p>
    <w:p>
      <w:pPr>
        <w:pStyle w:val="Heading1"/>
      </w:pPr>
      <w:r>
        <w:t>Page 1 – Opening Image: The Hum and the Roar</w:t>
      </w:r>
    </w:p>
    <w:p>
      <w:r>
        <w:t>Purpose: Show civilization visibly alive — factories humming, grids blazing, rockets lifting. Launches celebrated as civic festivals, innovation visibly in motion. Psychological Layer: Reader feels awe — collapse is not just arrested but reversed.</w:t>
      </w:r>
    </w:p>
    <w:p>
      <w:pPr>
        <w:pStyle w:val="Heading1"/>
      </w:pPr>
      <w:r>
        <w:t>Page 2 – Energy Abundance as Launchpad</w:t>
      </w:r>
    </w:p>
    <w:p>
      <w:r>
        <w:t>Purpose: Present energy security as the backbone of the renaissance. Fission, space-based solar, hardened grids enable massive projects, including habitat prototypes. Psychological Layer: Reader feels confidence — power is no longer a leash but a slingshot.</w:t>
      </w:r>
    </w:p>
    <w:p>
      <w:pPr>
        <w:pStyle w:val="Heading1"/>
      </w:pPr>
      <w:r>
        <w:t>Page 3 – Industrial Revival with an Orbital Horizon</w:t>
      </w:r>
    </w:p>
    <w:p>
      <w:r>
        <w:t>Purpose: Show reindustrialization not just for consumption but for building orbital infrastructure. Shipyards, spaceports, robotic assembly lines working at scale. Psychological Layer: Reader feels pride — industry is destiny again.</w:t>
      </w:r>
    </w:p>
    <w:p>
      <w:pPr>
        <w:pStyle w:val="Heading1"/>
      </w:pPr>
      <w:r>
        <w:t>Page 4 – Ecological Restoration as Genetic Treasury</w:t>
      </w:r>
    </w:p>
    <w:p>
      <w:r>
        <w:t>Purpose: Show biosphere restoration as strategic — a library of life to seed off-world habitats. Forests replanted, genomes catalogued, ecosystems restored for replication. Psychological Layer: Reader feels reverence — Earth is seen as mother-world, not quarry.</w:t>
      </w:r>
    </w:p>
    <w:p>
      <w:pPr>
        <w:pStyle w:val="Heading1"/>
      </w:pPr>
      <w:r>
        <w:t>Page 5 – Cities as Gateways</w:t>
      </w:r>
    </w:p>
    <w:p>
      <w:r>
        <w:t>Purpose: Show cities as both cultural centers and launchpads — parks, plazas, and viewing platforms celebrate launches. Architecture blends tradition with futurism. Psychological Layer: Reader feels belonging — their city is part of the story.</w:t>
      </w:r>
    </w:p>
    <w:p>
      <w:pPr>
        <w:pStyle w:val="Heading1"/>
      </w:pPr>
      <w:r>
        <w:t>Page 6 – Cultural and Civic Life</w:t>
      </w:r>
    </w:p>
    <w:p>
      <w:r>
        <w:t>Purpose: Depict festivals, art, music, and shared rituals marking milestones of the frontier project. Local identity preserved, yet pointed toward a shared horizon. Psychological Layer: Reader feels joy — culture feels alive and participatory.</w:t>
      </w:r>
    </w:p>
    <w:p>
      <w:pPr>
        <w:pStyle w:val="Heading1"/>
      </w:pPr>
      <w:r>
        <w:t>Page 7 – Fertility and Continuity</w:t>
      </w:r>
    </w:p>
    <w:p>
      <w:r>
        <w:t>Purpose: Show birth rates rising, schools filling, children raised to be future builders and gardeners of new worlds. Psychological Layer: Reader feels assurance — continuity secured.</w:t>
      </w:r>
    </w:p>
    <w:p>
      <w:pPr>
        <w:pStyle w:val="Heading1"/>
      </w:pPr>
      <w:r>
        <w:t>Page 8 – Closing: The Invitation</w:t>
      </w:r>
    </w:p>
    <w:p>
      <w:r>
        <w:t>Purpose: Present renaissance as a beacon — others see, envy, and are drawn to join. Sets up Chapter 14's confederation under abundance. Closing Line Suggestion: 'This is the standard. Guard it, grow it — and let those who see it come freely, so that many banners may share the same sky.'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