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 – Collapse Named: Final Page-by-Page Outline</w:t>
      </w:r>
    </w:p>
    <w:p>
      <w:pPr>
        <w:pStyle w:val="Heading2"/>
      </w:pPr>
      <w:r>
        <w:t>Chapter 1 – The Burden of Collapse</w:t>
      </w:r>
    </w:p>
    <w:p>
      <w:r>
        <w:t>Page 1 – Opening Invocation: Declare collapse authored, not accidental. Summon reader as juror.</w:t>
      </w:r>
    </w:p>
    <w:p>
      <w:r>
        <w:t>Page 2 – Ordinary Innocence: Contrast good-faith citizens with corrupted leadership.</w:t>
      </w:r>
    </w:p>
    <w:p>
      <w:r>
        <w:t>Page 3 – The Justice Gap Opens: Expose how betrayal was shielded by institutions.</w:t>
      </w:r>
    </w:p>
    <w:p>
      <w:r>
        <w:t>Page 4 – The Stolen Horizon: Show how future was deliberately foreclosed, expansion halted.</w:t>
      </w:r>
    </w:p>
    <w:p>
      <w:r>
        <w:t>Page 5 – The Trap Revealed: Bretton Woods, UN, NATO as peace-bargains turned cages.</w:t>
      </w:r>
    </w:p>
    <w:p>
      <w:r>
        <w:t>Page 6 – Early Alarm Silenced: VENONA, McCarthy – vigilance punished, subversion normalized.</w:t>
      </w:r>
    </w:p>
    <w:p>
      <w:r>
        <w:t>Page 7 – Collapse as Judgment: Declare collapse as history’s verdict, choice cannot be deferred.</w:t>
      </w:r>
    </w:p>
    <w:p>
      <w:pPr>
        <w:pStyle w:val="Heading2"/>
      </w:pPr>
      <w:r>
        <w:t>Chapter 2 – The Logic of Betrayal</w:t>
      </w:r>
    </w:p>
    <w:p>
      <w:r>
        <w:t>Page 1 – Language of Inversion: Introduce four alibis (peace, prosperity, progress, justice).</w:t>
      </w:r>
    </w:p>
    <w:p>
      <w:r>
        <w:t>Page 2 – Peace as Operating System: MAD, PTSD of civilization, sovereignty suppressed.</w:t>
      </w:r>
    </w:p>
    <w:p>
      <w:r>
        <w:t>Page 3 – Internalization: Assertion reframed as aggression; conflict avoidance becomes moral duty.</w:t>
      </w:r>
    </w:p>
    <w:p>
      <w:r>
        <w:t>Page 4 – Prosperity as Dependence: Aid, trade as obedience tests; prosperity made conditional.</w:t>
      </w:r>
    </w:p>
    <w:p>
      <w:r>
        <w:t>Page 5 – Progress as Dissolution: Tradition pathologized, memory turned to guilt.</w:t>
      </w:r>
    </w:p>
    <w:p>
      <w:r>
        <w:t>Page 6 – Justice as Weapon: Lawfare shields betrayers, punishes defenders.</w:t>
      </w:r>
    </w:p>
    <w:p>
      <w:r>
        <w:t>Page 7 – Conclusion: Systemic betrayal – reform impossible from within.</w:t>
      </w:r>
    </w:p>
    <w:p>
      <w:pPr>
        <w:pStyle w:val="Heading2"/>
      </w:pPr>
      <w:r>
        <w:t>Chapter 3 – The Alibis of Decline</w:t>
      </w:r>
    </w:p>
    <w:p>
      <w:r>
        <w:t>Page 1 – Decline as Virtue: Weakness moralized, contraction celebrated.</w:t>
      </w:r>
    </w:p>
    <w:p>
      <w:r>
        <w:t>Page 2 – Scarcity as Sacred: Malthusian revival, fear campaigns make abundance suspect.</w:t>
      </w:r>
    </w:p>
    <w:p>
      <w:r>
        <w:t>Page 3 – Fragility as Design: Offshoring, chokepoints presented as sophistication.</w:t>
      </w:r>
    </w:p>
    <w:p>
      <w:r>
        <w:t>Page 4 – Efficiency as Fetish: Lean systems praised despite brittleness.</w:t>
      </w:r>
    </w:p>
    <w:p>
      <w:r>
        <w:t>Page 5 – False Progress: Endless churn, culture destabilized, permanence treated as oppression.</w:t>
      </w:r>
    </w:p>
    <w:p>
      <w:r>
        <w:t>Page 6 – Collapse as Operating System: Tie all alibis together as coherent strategy.</w:t>
      </w:r>
    </w:p>
    <w:p>
      <w:r>
        <w:t>Page 7 – Closing Turn: Hint at alternative path deliberately closed – primes reader for Part 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