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c94d45850d98484dac5aef91aaed1355a03cb3"/>
    <w:p>
      <w:pPr>
        <w:pStyle w:val="Heading1"/>
      </w:pPr>
      <w:r>
        <w:t xml:space="preserve">Master Condensed Analysis — Rhetorical &amp; Persuasive Strategy Review</w:t>
      </w:r>
    </w:p>
    <w:p>
      <w:r>
        <w:pict>
          <v:rect style="width:0;height:1.5pt" o:hralign="center" o:hrstd="t" o:hr="t"/>
        </w:pict>
      </w:r>
    </w:p>
    <w:bookmarkStart w:id="20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Powerful tribunal framing, stark moral language, clear betrayal logic. Appeals strongly to pathos (indignation, grief) and ethos (moral authority).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Risks abstraction without vivid case anchors; at times schematic (lists of alibis). Logos underdeveloped in 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Use historical vignettes, metaphors of theft and trial, reader-facing contrasts (</w:t>
      </w:r>
      <w:r>
        <w:t xml:space="preserve">“you remember when…”</w:t>
      </w:r>
      <w:r>
        <w:t xml:space="preserve">). Balance logos by anchoring claims in example and consequence.</w:t>
      </w:r>
    </w:p>
    <w:bookmarkEnd w:id="20"/>
    <w:bookmarkStart w:id="21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Strong conceptual clarity (inversion, conditioning), effective repetition showing saturation. Pathos effective through demoralization imagery.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Heavy on conceptual density; can drift into jargon without narrative flesh. Ethos strained by lack of lived example.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Use case detail (university capture, media rituals, neighbor denunciations). Employ metaphor (immune system, cage, spell) to dramatize logos. Add</w:t>
      </w:r>
      <w:r>
        <w:t xml:space="preserve"> </w:t>
      </w:r>
      <w:r>
        <w:t xml:space="preserve">“ordinary scene”</w:t>
      </w:r>
      <w:r>
        <w:t xml:space="preserve"> </w:t>
      </w:r>
      <w:r>
        <w:t xml:space="preserve">vignettes for reader identification.</w:t>
      </w:r>
    </w:p>
    <w:bookmarkEnd w:id="21"/>
    <w:bookmarkStart w:id="22" w:name="X0fc826e2ab43e8b7573dd8c72fab590f1b85aa0"/>
    <w:p>
      <w:pPr>
        <w:pStyle w:val="Heading2"/>
      </w:pPr>
      <w:r>
        <w:t xml:space="preserve">Part III: The Reckoning and the Call (Ch. 6–9)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Urgency escalates; clear moral summons; effective ethos (tribunal voice returns). Pathos high through betrayal catalog and ultimatum.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Risks list-like delivery (Ch. 6 catalog). Some overlap (nostalgia vs. mercy in Ch. 9). Logos sometimes implied rather than stated.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Insert connective bridges tying domains into one betrayal pattern. Add historical analogies (wars, revolutions) to sharpen logos. Strengthen differentiation of emotional tones (nostalgia vs. mercy as distinct poisons).</w:t>
      </w:r>
    </w:p>
    <w:bookmarkEnd w:id="22"/>
    <w:bookmarkStart w:id="23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Strong moral clarity (sovereignty, renewal, confederation). Persuasive ethos as visionary authority. Pathos through imagery of restoration and continuity.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Can read as checklist (sovereignty dimensions, confederation conditions). Logos risks encyclopedic tone.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rhetorical rhythm (</w:t>
      </w:r>
      <w:r>
        <w:t xml:space="preserve">“energy must be… culture must be…”</w:t>
      </w:r>
      <w:r>
        <w:t xml:space="preserve">). Employ soaring imagery of rebirth and inheritance. Ground logos with case anchors (industrial renewal, charter mechanisms). Pathos elevated through festivals, children, monuments.</w:t>
      </w:r>
    </w:p>
    <w:bookmarkEnd w:id="23"/>
    <w:bookmarkStart w:id="24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Expansive vision, cosmic scale (Dyson Horizon, permanence). Ethos of civilizational architect, pathos in awe and destiny.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Risks abstraction (technical and cultural sections thin). Logos vulnerable without scale illustrations.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quantitative contrasts (energy orders of magnitude). Employ vivid imagery (mirrors in orbit, habitats as homelands). Strengthen rhetorical crescendos to close chapters. Pathos heightened by generational legacy and permanence.</w:t>
      </w:r>
    </w:p>
    <w:p>
      <w:r>
        <w:pict>
          <v:rect style="width:0;height:1.5pt" o:hralign="center" o:hrstd="t" o:hr="t"/>
        </w:pict>
      </w:r>
    </w:p>
    <w:bookmarkEnd w:id="24"/>
    <w:bookmarkStart w:id="25" w:name="overall-rhetorical-profile"/>
    <w:p>
      <w:pPr>
        <w:pStyle w:val="Heading2"/>
      </w:pPr>
      <w:r>
        <w:t xml:space="preserve">Overall Rhetorical 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moral authority throughout, but risks strain without concrete grounding.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effective; core driver of persuasion. Needs tonal variation to avoid fatigue.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Present but sometimes implied; requires more concrete case detail, historical precedent, and quantitative illustration.</w:t>
      </w:r>
    </w:p>
    <w:p>
      <w:r>
        <w:pict>
          <v:rect style="width:0;height:1.5pt" o:hralign="center" o:hrstd="t" o:hr="t"/>
        </w:pict>
      </w:r>
    </w:p>
    <w:bookmarkEnd w:id="25"/>
    <w:bookmarkStart w:id="26" w:name="master-expansion-strategy"/>
    <w:p>
      <w:pPr>
        <w:pStyle w:val="Heading2"/>
      </w:pPr>
      <w:r>
        <w:t xml:space="preserve">Master Expansion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Anchor abstract claims in concrete cases.</w:t>
      </w:r>
      <w:r>
        <w:t xml:space="preserve"> </w:t>
      </w:r>
      <w:r>
        <w:t xml:space="preserve">Ensure every major assertion is followed by example or vignette.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Balance appeals.</w:t>
      </w:r>
      <w:r>
        <w:t xml:space="preserve"> </w:t>
      </w:r>
      <w:r>
        <w:t xml:space="preserve">Sustain moral tribunal ethos, vary emotional tones, strengthen logos with history, data, and analogy.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Sharpen rhetorical rhythm.</w:t>
      </w:r>
      <w:r>
        <w:t xml:space="preserve"> </w:t>
      </w:r>
      <w:r>
        <w:t xml:space="preserve">Use repetition, parallelism, and contrasts to engrave points.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 each chapter with crescendo.</w:t>
      </w:r>
      <w:r>
        <w:t xml:space="preserve"> </w:t>
      </w:r>
      <w:r>
        <w:t xml:space="preserve">Ensure closing lines land with both emotional and rational weight.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2025-09-25T23:10:09Z</dcterms:created>
  <dcterms:modified xsi:type="dcterms:W3CDTF">2025-09-25T23:10:09Z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