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Page 1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Collapse Written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Collapse did not arrive like weather. It was processed, docketed, and signed. You can see it in the record: in minutes that traded stewardship for convenience, in budgets that hollowed the future to buy the present, in orders that treated inheritance as expendable. The form was public; the consequences were private, borne by those who kept faith.</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civilization carries within it more continuity than any one generation can spend. That reserve can be guarded</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or it can be stripped. The stripping is never announced as such. It is defended as prudence, modernization, integration. Yet the effect is the same: authority drifts outward to committees no one elected, industry offshored for margins that never return, families taxed into sterility while rhetoric promises prosperity without heirs. The debasement is administrative before it is visible.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Consider the currency that will not hold its measure. In late classical and Hellenistic Greece, city-state mints stretched silver with baser metals and pushed fiduciary bronze into circulation at silver value to fund wars and stagnant courts. Prices rose; merchants demanded weights, not stamps; households hoarded “good” coin and spent the bad. Trust thinned before walls cracked, and the tax no assembly voted</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the tax of inflation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skimmed value from every loaf and wage. That is collapse written literally into money: not a metaphor, a policy.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modern parallel does not hide. When fiat is multiplied to paper over structural loss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deficits rolled forward, balance sheets swollen, asset prices levitated</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figures on a page swell while the street shrinks. Purchasing power ebbs; craft wages lag; savings dissolve quietly; and the ledger calls it stability. The emblem on the note remains unchanged, as once on the drachma; what changes is what it buys.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book opens in that register because the wound is real. The first claim is not that history is cruel, but that stewardship was abandoned. What follows is not lament but accounting: who made which decisions, under what justifications, with what costs to those who trusted them. If collapse was written, it can be read. If it can be read, it can be judged. And if it can be judged, correction can begin.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Page 2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Ordinary Innocence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people did not author the decline they were told to endure. Most rose early, kept schedules, kept faith: meals on tables, roofs maintained, kin supported, work done. Continuity is usually quiet</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handed across a breakfast table, learned beside a crib, taught in the time it takes to fix a hinge. That is where the bill for higher policies eventually arrives.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same decades that speeches praised progress, statutes and rulings reset first principles. In 1973, the unborn life that families had treated as given became a legal abstraction adjudicated far above any kitchen table. In late-twentieth-century China, a policy turned bloodlines into spreadsheets: second children reclassified as infractions, daughters vanished from registries, fines and surgeries recorded as routine enforcement. More recently, what had once been a tragic exception at the end of life was recoded as a public good. The language changed first; then the forms; then the expectations. The people absorbed the costs quietly because that is how costs arrive.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single day can show it without polemic. A midwife fills out a new set of codes that redefine what she has called a heartbeat since training. A young couple compares wages to rent and childcare and postpones a child until postponement becomes surrender. A son signs the consent line for his father’s “medical assistance” after learning what options the system will not fund. None of them debate doctrines; they comply with paperwork. Continuity narrows by increments that feel administrative rather than fateful.</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is not that citizens lacked virtue or resolve. They did what people have always done to keep a household intact: saved when they could, helped when they must, bore loss without theater. Where betrayal occurred was above them, in decisions that converted duties into options and options into prohibitions. The effect at ground level is measurable without invective: fewer cradles bought, fewer names added to family books, fewer hands at the table when seasons turn.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chapter records those shifts not to scold the ordinary but to clear them of blame. The premise is simple: stewardship failed upward; fidelity held below. From here, the account turns to how that gap was made durable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and why it could not be closed by patience alone.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Page 3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The Justice Gap Opens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Crimes were documented in daylight and then absorbed. What should have triggered indictments became hearings; what should have ended careers became transfers. Between exposure and consequence, a space widened until it functioned as policy.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Opioids (regulatory and corporate conduct). Rural pharmacies in West Virginia and eastern Kentucky received oxycodone/hydrocodone shipments far beyond plausible demand; distributors filed “suspicious order” reports while continuing deliveries; quota approvals lagged realities in the field. Manufacturer detailing reclassified chronic pain as open-ended indication; pill counts climbed; overdose deaths tracked the curve. When cases reached resolution, outcomes were settlements without admissions, fines booked against future revenues, and compliance monitors. Corporate charters and dispensing licenses remained; communities bore the loss.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2008 financial crisis (structured products and bailouts). Mortgage originators fed low-documentation loans into securitizations; ratings agencies marked tranches investment-grade; synthetic instruments amplified exposure. When the structure failed, emergency facilities stabilized institutions that engineered the risk. Homeowners faced foreclosure; pensions absorbed drawdowns; executives retained compensation through retention programs. Post-crisis reforms increased paperwork; the concentration of financial power, practical risk socialization, and moral hazard persisted.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Elite impunity (vice networks). An interpersonal network tied to political, business, and cultural figures was exposed through arrest and plea agreements; prior non-prosecution arrangements and sealed filings limited scope. Detainee death foreclosed testimony; associated cases produced fragmentary accountability. The public learned the names from headlines, not from judgments; the institutional ledger closed with redactions.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Non-US patterning (corruption and negotiated outcomes). In Brazil’s Lava Jato, construction and energy concession schemes were mapped across party lines; indictments and recoveries were significant; subsequent judicial reversals, political realignments, and plea renegotiations diluted final accountability. In Malaysia’s 1MDB affair, cross-border settlements and fines arrived; key defendants faced uneven jurisdictional outcomes; funds were partially clawed back while intermediary institutions continued operations. The practical lesson resembled the domestic one: exposure up, pain diffused, principals variably insulated.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Across categories, law did not vanish; it inverted its emphasis. Procedures lengthened as penalties softened where damage was widest. The working rule communicated itself: harm high enough or broad enough converts from crime to cost center.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chapter records the inversion to restore proportion, not to indulge grievance. If wrongdoing can be priced instead of punished, wrongdoing is a line item, not a boundary. From here, the argument turns to the future that was promised while this regime held</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and how that promise was steadily withdrawn.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Page 4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The Stolen Horizon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future was not lost to chance; it was deferred by policy. In energy and in space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the two levers that expand civilizational possibility</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decisions were taken that converted momentum into maintenance.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Nuclear, from promise to paralysis. “Atoms for Peace” advertised universal access to abundant power; what followed across multiple jurisdictions were moratoria, licensing expansions that stretched projects beyond feasibility horizons, and financial regimes that penalized baseload buildout. After major accidents, risk management hardened into political retreat: uprates and life extensions substituted for new fleets; R&amp;D lines were thinned; supply chains atrophied. Several states paired subsidy and mandate for intermittent generation while imposing financing and regulatory burdens that nuclear could not practically clear. The public message was safety; the practical outcome was dependence on fuels and imports the programs were supposed to transcend.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Space, from exploration to orbiting administration. Post-disaster reforms prioritized flight rate control and risk minimization over expansion architecture. Launch cadence tightened; ambitions were re-scoped to near-Earth operations. The International Space Station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valuable for operations practice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became a platform for indefinite presence rather than stepping-stone timelines. Flagship return-to-Moon schedules were announced, rebaselined, and slipped; the gap between ceremonial announcements and metal on the pad widened. Budgets preserved payrolls and facilities; industrial policy protected contractors; program management optimized for auditability rather than velocity.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Non-US program attrition (scope and balance). The Soviet N1 heavy-lift program failed in four attempts; successor architectures did not restore lunar momentum. Energia flew twice; its associated shuttle (Buran) was cancelled amid post-Soviet contraction. In Europe, the Hermes spaceplane was terminated after cost and mass growth; later human-spaceflight ambitions narrowed to ISS participation and commercial partnerships. Japan’s HOPE-X demonstrator was shelved; crewed capability receded in favor of uncrewed strengths. Across these cases, aerospace competence remained, but architecture for deep expansion dissolved into studies, prototypes, and consortium paperwork.</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pattern is legible: where abundance required decisive architecture, institutions selected frameworks that maximized process compliance and minimized forward risk. The horizon shrank without a single law declaring it so. This chapter names the loss in order to restore proportion: promises were specific, so are the decisions that stalled them. From here, the analysis turns to the machinery that made such choices predictable and durable.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Page 5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The Trap Revealed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postwar architecture was presented as stabilization. Its working effect was constraint: decisions moved from local authority to venues where reversal was procedurally impossible and delay tactically useful.</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Currency architecture (Bretton Woods to dollar order). Pegs and reserve accumulation tied external balances to Washington’s policy mix; later, with capital-account liberalization, sudden stops and flows discipled fiscal choices abroad. Central banks warehoused dollar assets for safety; domestic priorities were calibrated to preserve the peg or the rating. Trade invoicing in dollars made energy and inputs contingent on access to that system. A deficit in one capital became leverage in another.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Security alignment (NATO). Article 5 promised collective defense; the daily discipline came from standardization, basing, and procurement dependence. Interoperability requirements drove members toward specific platforms and munitions; logistics and ISR were centralized enough that “sovereign” operations implicitly required alliance green lights. Out-of-area operations normalized political alignment beyond treaty geography; dissenters faced funding, intel, and industry consequences.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Global governance (UN system). Sanctions committees, rapporteurs, and treaty bodies produced binding effects through finance and stigma. “Non-binding” compacts propagated into domestic law via court citation, agency guidance, and funding conditions. Migration and climate frameworks turned internal thresholds into international obligations, narrowing voters’ room to revise policy without penalty or reputational cost.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Crisis management (IMF). Stand-by arrangements exchanged liquidity for conditionality: currency devaluation, subsidy cuts, privatizations, wage restraint. The sequence stabilized balance sheets while hollowing political capital; governments that signed regained cash and lost discretion. Austerity was scored as compliance; social fracture was off-ledger.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Trade regime (WTO; China entry 2001). Tariff schedules and market-access commitments locked industrial policy to external timetables. Permanent normal trade relations and dispute settlement gave predictability to global supply chains and made reversal costly. The textbook promise was efficiency; the practiced outcome was accelerated offshoring, regional skills decay, and a dependency loop in critical inputs masked as consumer surplus.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Across pillars, the pattern repeats: convert policy into treaty, turn preferences into obligations, shift enforcement to boards and panels insulated from local recall. Borders are replaced by rules of origin; sovereignty by compliance calendars; industrial strategy by procurement frameworks written to fit someone else’s scale.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is why the horizon shrank quietly. No statute announced “decline.” The net was procedural: clauses, standards, covenants, memoranda. From here the record turns to those who tried to raise early alarms about these conversions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and the methods by which those alarms were blunted.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Page 6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Early Alarm Silenced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Every living order depends on sentinels. In this period, those who raised early warnings were processed, not heeded. The pattern is visible across archives, hearings, and internal memos.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Counter-infiltration warnings. The VENONA decrypts documented Soviet intelligence penetration of Western institutions. Rather than trigger a durable counter-subversion doctrine, the disclosures were compartmented; classification limited public synthesis; later commentary reframed the political response (e.g., McCarthyism) as the larger threat. The net effect was reputational booby-trapping: raise the subject and inherit the stigma of excess, ensuring vigilance remained a liability inside respectable forums.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Campus and cultural capture. By the late 1960s and early 1970s, groups like SDS and the Weather Underground migrated from protest to embedded influence: faculty appointments, curricula, and fellow-traveling centers normalized a permanent critique posture. University governance converted episodic unrest into standing committees, DEI-style offices, and grievance adjudication structures. Internal dissenters who flagged the ideological tilt faced promotion denials and review-board processes that framed objections as hostile environment issues rather than academic disputes.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Whistleblowing on state overreach. When disclosure shifted from ideology to surveillance and war conduct, the treatment stayed consistent. Major leaks documenting mass collection and extrajudicial practices resulted in prosecutions, asylum, or exile for the leakers; program architects retained clearances. Inspector-general reports tightened paperwork while preserving core authorities through revised minimization rules and secret court opinions. Public debate focused on personality and procedure; statutory rollback failed; the operational baseline survived.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Media and platform mediation. Gatekeeping migrated from editorial boards to platform policy. Early alarms about narrative manipulation or state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platform coordination were answered with content moderation changes,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trust and safety</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expansions, and advertiser pressure. Critics were labeled misinformation risks; rank suppression and account sanctions functioned as low-visibility penalties. The formal press amplified official frameworks; retractions, when issued, arrived after cycles had closed.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European parallels. In Italy, the years of lead and subsequent revelations around stay-behind networks produced commissions and court cases that generated documentation without stable consensus or institutional reform proportionate to findings. Across the EU, attempts to surface irregular migration and security linkages were routed into hate-speech or disinformation proceedings; policy critics faced legal and financial deterrents rather than substantive engagement with claims.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Across categories, the method was uniform: convert alarms into process problems, redefine warners as reputational risks, and disperse accountability across committees until no one actor owns the correction. The result was an immune system trained to attack its sentinels. From here, the chapter turns to the cost of that training: when wrongdoing isn’t punished, collapse itself becomes the verdict.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Page 7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Collapse as Judgment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Where punishment is withheld long enough, penalty arrives without courts. Budgets, grids, birth ledgers, and shop floors deliver the sentence that indictments refused to write.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late Soviet period, formal structures persisted</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party congresses, five-year plans, ministerial portfolios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while real capacity receded. Output targets were met on paper; factories produced unusable goods to satisfy plan arithmetic; maintenance backlogs grew; food lines lengthened; local officials learned to falsify and barter to keep districts from open failure. When the system broke, it did not fall to an external army but to its own inventory of fictions. The consequence of decades of unpunished deceit was operational nonfunction.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Municipal decline tells the same story at human scale. Where procurement fraud, patronage contracting, and unfunded promises became normal, infrastructure told the truth: water mains ruptured, transit headways lengthened, police response times slipped, school outcomes fell. Population followed service quality: those with options left, tax bases shrank, and the jurisdiction acquired a negative flywheel</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higher rates on fewer payers for worse results. No statute declared collapse; balance sheets and streets did.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Currency is another venue where impunity renders judgment. When officials finance chronic deficits through monetary expansion, the immediate winners are those nearest the spigot; the losses disperse across wages and savings. As purchasing power erodes, households turn to second currencies and barter; tax compliance weakens; investment horizons shorten; emigration rises. The legal system may remain intact; its rulings purchase less every quarter. Inflation is the most evenhanded court in history: it sentences all holders of the unit.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Security follows the same arc. If violent groups learn through experience that prosecutions will be pled down or witnesses left unprotected, the expected cost of predation drops. Businesses close earlier, neighborhoods self-segregate, private security proliferates, and public legitimacy drains into gated workarounds. The appearance of order can be maintained</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statistics rebased, categories redefined</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but behavior shifts to the real incentives.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These are not aberrations; they are the regularities of systems that choose process over accountability. The names change; the arithmetic does not. Where wrongdoing is priced instead of punished, the bill is finally collected in degraded services, empty cradles, failing kit, and a quieter flight from places that once held. The tribunal’s claim, therefore, is simple: if justice will not close the circle, reality will.</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Page 8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Continuity Violated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Continuity is not a sentiment. It is the practical chain by which a people remains itself: children are born and raised inside a recognized household; language is taught and used in law and school; land is stewarded so soil, water, and craft outlast a generation; skills are transmitted so tools and trades do not vanish when a cohort retires. Where those links are cut, continuity is violated.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Family formation and inheritance. When tax and welfare schedules penalize marriage relative to cohabitation, the incentive is to avoid the formal tie that anchors descent and custody. Estate regimes that favor liquidation over intergenerational transfer convert farms and shops into assets to be sold, not trusts to be held. Adoption and fertility policy, framed as administrative throughput, lengthens wait times, raises costs, and routes decision power to offices far from kin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reducing the number of children raised inside stable households while insisting the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is performing.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Language and law. If public institutions displace the native language in early schooling or subordinate it to administrative jargon, the concepts that carry a people’s memory lose legal weight. Court and agency style guides that recode familial and civic terms (parent, mother, citizen) into generic categories teach the public that inheritance is optional vocabulary. Over time, the words that once bound duty become replaceable labels; transmission falters not by decree but by paperwork.</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Land and resource stewardship. Where arable land is steadily transferred to absentee capital with short return horizons, soil care drops to the minimum that meets compliance. Irrigation, hedgerows, seed sovereignty, and rotational practices that protect fertility are replaced by inputs matched to quarterly targets. Water tables fall, topsoil thins, and local seed lines are lost. The acreage still exists; the inheritance embedded in it does not.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Industry and skill. Deindustrialization measured as a “services upgrade” destroys the workshops where craft mastery compounds. Apprenticeship frameworks shrink; credentialing replaces mentorship; toolrooms become procurement lines for imported parts. When skilled retirees cannot name successors and training departments are reclassified as cost centers, a region ceases to make what it uses. The capability gap is a continuity breach with a polite name.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None of this requires drama. Forms are updated; definitions adjusted; ownership changes hands; programs sunset and rebrand. The result is the same: fewer children born and reared inside durable households; thinner language for duty; exhausted soil; shops without masters. The tribunal’s claim, stated plainly, is that such changes are not neutral modernization but measurable violations of continuity</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and therefore subject to judgment.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Page 9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False Dialectic</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Decline was argued into place with forced choices that were never the only options. The pattern is consistent: define the field as a binary, criminalize the middle, and write policy to fit the box.</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Energy: “oil vs renewables.” Public debate framed abundance as a choice between fossil dependency and intermittent wind/solar. Regulatory and finance instruments hardened the box: renewable portfolio standards that excluded nuclear from compliance credits; green-taxonomy rules that withheld favorable financing from fission projects; environmental review timelines that made large baseload builds non-viable even where safety cases were strong. What disappeared in the framing was the third path</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high-duty-cycle nuclear on Earth and, beyond Earth, space-based solar tied to orbital industry</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precisely the combination that breaks scarcity without importing fragility.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Migration: “open borders vs cruelty.” Treaties, compacts, and NGO campaigns presented sovereignty enforcement as moral injury and mass inflows as compassion. Domestic policy translated the binary into enforcement guidance, prosecution thresholds, and funding conditions that favored release over removal. Excluded from the frame were sovereign pathways that strengthen continuity: ethnic return policies; time-bounded, skill-specific apprenticeship visas tied to repatriation; confederated mutual-recognition agreements that move talent without dissolving borders. The choice was never “barbed wire or sainthood,” but the dialectic made it so.</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Security: “safety vs privacy.” After major terror events, omnibus legislation fused surveillance expansions with must-pass protections, while secret-court opinions and minimization rules insulated programs from ordinary adversarial testing. Sunset clauses slid forward by routine reauthorization; inspector-general reforms lengthened paperwork without reducing collection scope. The excluded alternative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targeted warrants with real minimization, narrow tool authorities, public audit trails, and hard sunsets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was workable but absent from the permitted script.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Trade/industry: “free trade vs protectionism.” Entry into rules-based trade was presented as a referendum on openness, while industrial policy was portrayed as regression. Dispute-settlement mechanisms and national-treatment clauses disciplined procurement and local-content strategies; export controls were reactive rather than developmental. Missing was strategic industry policy: sovereign buildout of critical inputs (energy, metals, tooling), targeted infant-industry protection with explicit time limits, and regional compacts that share capacity without outsourcing autonomy.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Across domains, the mechanism is administrative: once the false binary is standardized in forms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eligibility criteria, finance taxonomies, compliance calendars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the middle path becomes noncompliant rather than merely unfashionable. Outcomes then look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inevitable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because alternatives are unlawful or unfundable, not because they are unsound.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tribunal’s position, stated briefly, is that judgment must first dissolve the box: abundance-plus-sovereignty exists; confederation is not empire; stewardship is not austerity. Page 10 sets the terms by which we will judge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and the charge laid on the reader once those terms are clear.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Page 10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Summons to Judgment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record is sufficient to proceed. What follows in the rest of the book will not be a recital of grievances but a test against standards, applied case by case. The standard is simple enough to state and strict enough to matter.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Criteria. First, intention: did actors adopt policies that predictably transferred authority away from accountable sovereignty and toward venues insulated from recall? Second, competence: did they know or have reason to know the effects because comparable cases, staff memoranda, or prior audits made them plain? Third, effect: did the policy measurably damage continuity</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birth, language, land, skill, security</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beyond ordinary volatility? Fourth, gain: did implementing circles concentrate advantage or indemnity while distributing cost? These are not metaphysical inquiries; they are document questions.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Burden of proof. The burden rests with those who changed the order. Where policy reverses long-anchored practices (family law, energy baseload, border enforcement, apprenticeship and industry), the changers must show that continuity was preserved or improved. Absence of such a showing counts against them. Rebranding and statistical rebasing do not satisfy the burden; durable improvements do.</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Admissible evidence. We will use statutes, treaty clauses, budget lines, rate schedules, licensing actions, procurement frameworks, program timelines, and demographic and industrial series. Expert testimony is useful; institutional behavior over time is dispositive. When the books and the streets disagree, the streets are presumed truthful until the books are reconciled.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Remedy. Where the test shows betrayal</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intended or reckless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we will specify correction: repeal, clawback, disqualification, restitution, and structural safeguards (sunsets, jurisdictional walls, covenant tests) to prevent recurrence. Where the test shows error without betrayal, we will specify reform. The aim is not theatre; it is restoration.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Charge to the reader. The reader’s role introduced at the start remains: juror, not spectator. Attend to names, dates, legal authorities, and material effects. Grant no indulgence to outcomes that are priced instead of punished, and no license to remedies that do not restore continuity. From here: the logic of betrayal, the machinery that captured and conditioned institutions</w:t>
      </w:r>
      <w:r>
        <w:rPr>
          <w:rFonts w:ascii="Times New Roman" w:hAnsi="Times New Roman" w:cs="Times New Roman" w:eastAsia="Times New Roman"/>
          <w:color w:val="auto"/>
          <w:spacing w:val="0"/>
          <w:position w:val="0"/>
          <w:sz w:val="24"/>
          <w:shd w:fill="auto" w:val="clear"/>
        </w:rPr>
        <w:t xml:space="preserve">, and the path out</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sovereignty, confederation, and abundance ordered to stewardship. The court is in session.</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