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Page 1 – The Charge of Evidence</w:t>
      </w:r>
    </w:p>
    <w:p>
      <w:r>
        <w:t>The “burden of collapse” is the cumulative load of measurable regressions that constrict a society’s option-space: the range of viable choices it can still finance, govern, build, and morally defend. It is not a mood. It is an accrual of frictions that can be dated, named, and tracked across domains—monetary, industrial, institutional, energetic, social, and informational—until the future narrows to maintenance rather than making.</w:t>
        <w:br/>
        <w:br/>
        <w:t>In 2008–09 the Federal Reserve initiated large-scale asset purchases that stabilized markets yet rewrote the background arithmetic of political choice; balance sheets became policy instruments, and the price of postponement fell below the price of reform. In 2017 the V.C. Summer nuclear expansion in South Carolina was abandoned after years of cost overruns, a single decision that signaled how advanced infrastructure had drifted from ambition to hazard—too brittle to deliver at the speed or cost the era requires. By the early 2020s, house-price-to-income ratios in cities such as Toronto and Vancouver settled at multi-decade extremes, binding younger cohorts to servicing costs and shrinking the pool of people who can afford to take productive risks. These are not isolated headlines; they are coordinates in a map of diminishing room to maneuver.</w:t>
        <w:br/>
        <w:br/>
        <w:t>Each domain tells a version of the same story. Money reaches without building. Projects start without finishing. Agencies publish plans without capacity to execute. Households buffer volatility by withdrawing from long-horizon commitments. Platforms revise their policies faster than institutions can adapt to new discovery norms. The pattern is coupling: constraints propagate from one subsystem to the next until even competent actors operate with thinner margins for error.</w:t>
        <w:br/>
        <w:br/>
        <w:t>The thesis of this chapter is diagnostic: to assemble enough named, dated, and verifiable signals to justify the claim that our option-space has narrowed, and to specify where the load actually resides. What follows is not an elegy but a ledger. The task is to identify which constraints are price-like and which are design-like—what can be repriced, and what must be rebuilt—so that later chapters can evaluate remedies on the right terrain. This is the burden: option-space narrowed by debt, scarcity signaling, and institutional latency.</w:t>
        <w:br/>
      </w:r>
    </w:p>
    <w:p/>
    <w:p>
      <w:pPr>
        <w:jc w:val="left"/>
      </w:pPr>
      <w:r>
        <w:rPr>
          <w:b/>
        </w:rPr>
        <w:t>Page 2 – Balance-Sheet Civilization</w:t>
      </w:r>
    </w:p>
    <w:p>
      <w:r>
        <w:t>After 2008–09, central banks became architects of the macro-environment rather than its weather forecasters. The Federal Reserve’s first rounds of large-scale asset purchases absorbed tail risk and re-liquefied credit markets, but they also altered the incentive surface of politics: postponement acquired a subsidy. The European Central Bank followed with its own purchase programs and, by 2015, a negative-rate regime that re-priced time itself. In 2020, pandemic-era expansions multiplied the scale—Treasuries and agency MBS accumulated at unprecedented speeds while fiscal deficits vaulted debt-to-GDP into territory that had previously required wartime justification. These choices stabilized the present; they also reshaped what counted as feasible in the next decade.</w:t>
        <w:br/>
        <w:br/>
        <w:t>The mechanism is straightforward. When balance sheets carry the burden of stabilization, asset prices become the channel for social calm. Households feel richer on paper; governments roll over obligations at low coupons; firms refinance cheaply. Yet productive capacity does not automatically follow the same slope. The S&amp;P 500 can rally while permitting delays stall an energy project; mortgage credit can be abundant while housing starts choke on material and labor bottlenecks; venture flows can swell while advanced manufacturing lead times lengthen. Liquidity moves faster than concrete. Prices recover before throughput returns.</w:t>
        <w:br/>
        <w:br/>
        <w:t>Policy actors understandably lean on the tools that work quickly, and market participants adapt to the rhythm: signal distress, receive relief. Over time the game teaches everyone to optimize for balance-sheet responses rather than operational fixes. The result is a civilization that maintains valuations exquisitely and builds grudgingly—a transfer of competence from fabrication to financial engineering. Option-space narrows in a counterintuitive way: not by absolute scarcity, but by composition—more capacity to smooth, less capacity to add.</w:t>
        <w:br/>
        <w:br/>
        <w:t>This is not an indictment of stabilization per se; it is an accounting of its side effects. The same instruments that prevent cascades can also decouple financial recovery from real recovery, masking the severity of supply constraints until they bind. The next pages track where the decouple shows up most plainly: in semiconductors, ports, medical precursors, fertilizer, and other choke points where liquidity cannot pour concrete or etch wafers.</w:t>
        <w:br/>
      </w:r>
    </w:p>
    <w:p/>
    <w:p>
      <w:pPr>
        <w:jc w:val="left"/>
      </w:pPr>
      <w:r>
        <w:rPr>
          <w:b/>
        </w:rPr>
        <w:t>Page 3 – Capacity Without Throughput</w:t>
      </w:r>
    </w:p>
    <w:p>
      <w:r>
        <w:t>“Decouple” becomes visible at the points where money cannot accelerate atoms. Consider semiconductors. By 2020–22, leading-edge capacity hinged on a small chain: ASML’s EUV scanners, TSMC and Samsung’s advanced nodes, and a global lattice of gases, resists, and ultrapure chemicals. Capital was abundant; stepper time was not. Wafer cycle times lengthened, delivery windows slipped, and downstream industries—from autos to network equipment—discovered that booked dollars do not etch wafers. The option-space narrowed in a quiet way: firms redesigned product lines around what could actually be fabbed, not what spreadsheets assumed.</w:t>
        <w:br/>
        <w:br/>
        <w:t>Ports and logistics told a similar story. At Los Angeles/Long Beach during the 2021–22 surge, throughput constraints were measured in berth availability, chassis rotation, yard density, and drayage scheduling rather than in credit lines. Containers waited offshore while invoice values rose onshore. The capital signal said “expand demand”; the physical system replied with queues. Liquidity repaired balance sheets; cranes still turned at the speed their crews, rules, and layouts permitted. Financial recovery and real recovery moved on different clocks because the former is largely price, the latter mostly process.</w:t>
        <w:br/>
        <w:br/>
        <w:t>Medical and chemical precursors added another layer. Mask material, reagents, contrast media, fertilizers—each depended on specific feedstocks and plants with long maintenance cycles. When a handful of facilities in Europe or East Asia throttled output, no amount of purchase orders could conjure excess flow. Even when substitution was technically feasible, qualification timelines and regulatory documentation created latency the market could not bid away. Households saw stocked shelves return; hospitals and farms discovered rationing tables and delayed shipments persisting well past headline normalization.</w:t>
        <w:br/>
        <w:br/>
        <w:t>In each case the mechanism is consistent: throughput is a composite of equipment, trained operators, certifications, maintenance intervals, and coordinated scheduling. Capital accelerates none of these directly. Where that composite is brittle—concentrated vendors, single points of failure, long re-tooling lead times—shocks propagate along the path of least resilience and then linger as chronic drag. The post-crisis habit of treating valuation as a proxy for vitality obscures this difference until it binds.</w:t>
        <w:br/>
        <w:br/>
        <w:t>This is what decouple means in practice: prices rebound while process capacity trails, and actors adapt to the gap by lowering ambition, stretching replacement cycles, or relabeling shortages as strategy. The next page names the hidden principal behind these lags—competence debt—and shows how small, local decisions accumulate into system-level latency.</w:t>
        <w:br/>
      </w:r>
    </w:p>
    <w:p/>
    <w:p>
      <w:pPr>
        <w:jc w:val="left"/>
      </w:pPr>
      <w:r>
        <w:rPr>
          <w:b/>
        </w:rPr>
        <w:t>Page 4 – Competence Debt (Two Micro-Studies)</w:t>
      </w:r>
    </w:p>
    <w:p>
      <w:r>
        <w:t>Competence debt is the interest a system pays on skills, documentation, and process rigor it didn’t invest in when times were calm. It accrues quietly—understaffed oversight, deferred maintenance, brittle vendor dependencies—until a routine shock forces the bill due. Two short studies show the mechanism.</w:t>
        <w:br/>
        <w:br/>
        <w:t>In 2017–19, the Federal Aviation Administration’s certification path for the Boeing 737 MAX exposed how delegated oversight, schedule pressure, and documentation shortcuts can couple into systemic risk. Actions meant to preserve delivery cadence—treating software changes as limited deltas, diffusing accountability across interfaces—reduced the probability that a single actor would halt the line when the integration picture warranted it. The metric was unambiguous: a grounding of the global MAX fleet, a halt to deliveries, retrofits, and new training requirements. What looked like time saved in development converted into time lost at continental scale, with trust—among regulators, carriers, crews, and passengers—depreciating fastest of all. Competence debt paid itself back through downtime.</w:t>
        <w:br/>
        <w:br/>
        <w:t>In 2022, the infant formula shortage in the United States mapped another face of the same debt. A contamination investigation and the shutdown of a major plant collided with a concentrated supply structure, long validation timelines, and slow inter-agency coordination. The Food and Drug Administration’s processes—appropriate for careful quality control in steady-state—proved too inertial once a critical node went offline. Procurement improvisation followed: emergency imports, waivers, and rationing. The measured outcomes were not abstract: weeks of short supply on a life-critical product for a vulnerable population, with hospitals switching brands and caregivers searching across geographies. Here competence debt lived in regulatory latency, vendor concentration, and the absence of rapid qualification pathways for substitutes.</w:t>
        <w:br/>
        <w:br/>
        <w:t>The pattern is consistent. To move faster today, organizations borrow against the invisible capital of training depth, cross-checks, redundancy, and clear lines of stop authority. The bill arrives later as longer outages, wider recalls, and trust erosion—penalties far larger than the initial “savings.” Competence debt converts local optimizations into system-level latency.</w:t>
        <w:br/>
        <w:br/>
        <w:t>Energy and infrastructure magnify this arithmetic. When the actors are grids, reactors, transmission corridors, or refineries, the same shortcuts scale from production pauses to regional constraints. The next page traces Earth-surface energy arithmetic, where capacity factors, maintenance windows, and permitting latency turn competence debt into binding limits on what can actually be powered, built, and kept stable.</w:t>
        <w:br/>
      </w:r>
    </w:p>
    <w:p/>
    <w:p>
      <w:pPr>
        <w:jc w:val="left"/>
      </w:pPr>
      <w:r>
        <w:rPr>
          <w:b/>
        </w:rPr>
        <w:t>Page 5 – Energy Arithmetic (Earth)</w:t>
      </w:r>
    </w:p>
    <w:p>
      <w:r>
        <w:t>On the surface of the Earth, energy is not an opinion—it is uptime multiplied by capacity factor, net of maintenance windows and fuel logistics. Nuclear plants routinely post capacity factors near the top of the stack, while wind and solar fluctuate with weather and daylight. That variability is manageable when grids are overbuilt with dispatchable margin and transmission slack; it becomes binding when expansion runs through narrow corridors of permitting, materials, and specialized labor. In 2023 Germany completed its nuclear phaseout even as it expanded intermittent capacity, a policy sequence that illustrates the arithmetic: megawatts installed are not megawatts available on demand. Capacity factors decide who carries the base load when the air is still and the sky is dark.</w:t>
        <w:br/>
        <w:br/>
        <w:t>Project history confirms the constraint. The Vogtle expansion in Georgia—Units 3 and 4 entering service in 2023–24 after long delays—shows both sides of the ledger. When complete, those reactors will deliver high-capacity-factor power for decades; getting there required a decade of re-learning nuclear project management, component supply, and documentation. Where projects were abandoned (V.C. Summer in 2017), the capacity never arrives, but the skills decay continues. The grid records the outcome as it must: fewer steady megawatts than planned, more dependence on gas peakers, and a greater share of variability to be balanced by transmission that itself takes years to permit and build.</w:t>
        <w:br/>
        <w:br/>
        <w:t>Grid operators experience these choices as continual throughput problems rather than slogans. ERCOT and CAISO watch reserve margins, intertie limits, and ramp rates, not press releases. Storage helps but compounds the same constraints: lithium, inverters, transformers, fire codes, siting, and interconnection queues. Each queue embodies institutional latency—environmental review, local opposition, outage planning windows, and procurement rules—so that projects bunch into the same fiscal years and then slip together. A system becomes reliable precisely when the long, boring work of sequencing crews, outages, and inspections is done; without that, variability bleeds into volatility.</w:t>
        <w:br/>
        <w:br/>
        <w:t>Space-collected solar will appear later in this book as a separate domain with different constraints; it does not relax Earth-surface arithmetic today. Here the critical indicator is dependable throughput: hours per year where firm supply exceeds firm demand with healthy reserves. Where that indicator trends down, the option-space for industry and households narrows—factories add redundancy, utilities price scarcity, and families budget for outages. The social effects register next: participation shifts, long-horizon commitments shrink, and institutional latency compounds. That is where the analysis now turns—social throughput as both consumer and producer of constraint.</w:t>
        <w:br/>
      </w:r>
    </w:p>
    <w:p/>
    <w:p>
      <w:pPr>
        <w:jc w:val="left"/>
      </w:pPr>
      <w:r>
        <w:rPr>
          <w:b/>
        </w:rPr>
        <w:t>Page 6 – Social Throughput</w:t>
      </w:r>
    </w:p>
    <w:p>
      <w:r>
        <w:t>A society’s throughput is measured not only in kilowatt-hours and ton-miles but in the steady availability of skilled attention. Prime-age labor force participation in North America drifted unevenly across the 2010s and into the early 2020s, with recoveries punctuated by exits into informal work, disability claims, and schooling loops; statistical agencies such as the BLS and Statistics Canada recorded the movement while employers discovered its texture in missed shifts and longer hiring cycles. Wages rose in pockets, yet the supply of particular competences—journey electricians, control-systems technicians, senior nurses, machinists, radiation protection staff—proved lumpy. Institutions compensated by stretching schedules, cross-loading duties, and paying premiums for overtime, a temporary fix that traded resilience for fatigue.</w:t>
        <w:br/>
        <w:br/>
        <w:t>Education signaled a separate constraint. Over the 2010s and early 2020s, tuition increased faster than entry-level pay in many jurisdictions, while credential inflation drew more years into the pipeline without proportionate practical training. Universities expanded administrative headcount and compliance functions, employers raised degree requirements for roles that once relied on apprenticeships, and graduates entered with lighter hands-on time. The result was a thinner gradient from classroom to competence, with more ramp-up embedded inside the first year of employment. Organizations covered the gap with checklists and software while the tacit knowledge—what to do when the checklist fails—arrived late.</w:t>
        <w:br/>
        <w:br/>
        <w:t>Health systems displayed the same arithmetic in sharper relief. Diagnostic backlogs accumulated after 2020; staffing shortages in anesthesia, imaging, and specialized nursing collided with supply frictions for contrast media and device components. Regulators and hospitals worked to clear queues, but qualification, safety, and maintenance windows limited how quickly capacity could expand. Families experienced the delay not as policy but as rescheduled procedures and longer travel to open slots. Throughput hinges on attention density: enough trained people in the right room at the same hour with the right tools and authority to act.</w:t>
        <w:br/>
        <w:br/>
        <w:t>These frictions compound. When hiring cycles lengthen, projects time-slice more aggressively; when training sags, supervisors absorb risk; when overtime becomes structure, error budgets shrink. The feedback is cultural before it is statistical: managers plan for absence; teams avoid novel methods that could fail; households shorten their horizons. Monetary relief cannot print competence, and policy targets cannot compress apprenticeship time without paying somewhere else in the system. What citizens feel as “tired institutions” is a throughput deficit.</w:t>
        <w:br/>
        <w:br/>
        <w:t>Information systems can either amplify or relieve this deficit. If discovery and dissemination improve, scarce attention is allocated to higher-leverage work; if they degrade, noise taxes the same attention twice. The next page turns to that allocation—how platform rules, curation layers, and moderation regimes alter a society’s signal-to-noise.</w:t>
        <w:br/>
      </w:r>
    </w:p>
    <w:p/>
    <w:p>
      <w:pPr>
        <w:jc w:val="left"/>
      </w:pPr>
      <w:r>
        <w:rPr>
          <w:b/>
        </w:rPr>
        <w:t>Page 7 – Information Friction</w:t>
      </w:r>
    </w:p>
    <w:p>
      <w:r>
        <w:t>Throughput also depends on how quickly true signals traverse a society. Platforms that intermediate discovery—search engines, social feeds, video hosts—became the default routers of expertise; when their rules change, attention reallocates even if underlying facts do not. In 2018 Facebook reweighted the News Feed toward “meaningful social interactions,” demoting many publisher posts and shifting referral traffic patterns across newsrooms. In 2019 YouTube announced changes to recommendation systems for “borderline” material, reducing the likelihood that certain topics would propagate through autoplay. Neither move altered which papers were written, which datasets existed, or which engineers were trained; both changed who saw what, when, and in what sequence of adjacent views. The content supply stayed constant; the path through it bent.</w:t>
        <w:br/>
        <w:br/>
        <w:t>Policy layers multiplied in the early 2020s. Search operators adjusted anti-spam and quality systems; large wikis and code forges tightened governance; real-time platforms revised rules for labeling, throttling, and account reach. Each adjustment was defensible in isolation—reduce harm, reward authenticity, remove manipulation—but their cumulative effect was to insert more filtering and more friction between producing knowledge and receiving it. For organizations with patient distribution (journals, agencies, universities), the delay felt like bureaucracy; for practitioners and small labs, it felt like invisibility punctuated by spikes. A culture accustomed to being found by the algorithm had to relearn being found by design.</w:t>
        <w:br/>
        <w:br/>
        <w:t>The mechanism is plain. Discovery systems are prioritized queues: tokens move forward when they match the model’s objective. If that objective shifts—toward dwell time, toward interpersonal chat, toward stricter trust heuristics—then some tokens (narrow technical posts, long-form documentation, niche replication reports) slide backward. The loss is not censorship in the dramatic sense; it is the quiet reweighting of scarce audience hours away from slow content that compounds competence. When the discovery tax rises on slow content, institutions absorb the cost as grant-writing and outreach; individuals absorb it as nights and weekends.</w:t>
        <w:br/>
        <w:br/>
        <w:t>This is information friction: rising effort to route the right eyes to the right work at the right time. High friction amplifies competence debt because fewer novice practitioners encounter the tutorials and postmortems that prevent avoidable errors. Low friction does the opposite, letting instruction and correction arrive before damage accumulates. Measured across years, the difference is large but subtle—fewer outages, cleaner handoffs, narrower error bars—gains that look like luck until you audit the pipelines that produced them.</w:t>
        <w:br/>
        <w:br/>
        <w:t>The synthesis is straightforward. Monetary policy can lubricate prices while failing to move atoms; platforms can inundate users while starving them of the next necessary detail. In both cases the burden lands on attention. A civilization that routes attention well expands option-space; one that dissipates it shrinks room to maneuver. The next page collects these strands—money, capacity, competence, energy, social effort, and discovery—into a single coupling map and names the criteria by which a burden indicator should be judged: what it constrains, how it propagates, and how it distorts signal-to-noise.</w:t>
        <w:br/>
      </w:r>
    </w:p>
    <w:p/>
    <w:p>
      <w:pPr>
        <w:jc w:val="left"/>
      </w:pPr>
      <w:r>
        <w:rPr>
          <w:b/>
        </w:rPr>
        <w:t>Page 8 – The Coupling</w:t>
      </w:r>
    </w:p>
    <w:p>
      <w:r>
        <w:t>The parts now align. Balance-sheet stabilization that lifts prices faster than processes creates decouple; decouple exposes where throughput is truly scarce; scarce throughput accrues as competence debt; competence debt magnifies energy arithmetic because high-capacity-factor assets demand long, exacting builds; energy and logistics frictions spill into social throughput as schedules stretch and training windows widen; rising information signal-to-noise then taxes the same scarce attention that must clear the debt. None of this requires conspiracy or catastrophe. It is a coupling map in which small, rational choices—by the Federal Reserve after 2009, by platforms in 2018–19, by grid operators across 2020–24—compose into a narrower option-space than any single actor intended.</w:t>
        <w:br/>
        <w:br/>
        <w:t>A usable analysis needs criteria, not metaphors. A burden indicator is valid when it constrains action that would otherwise be feasible, propagates its constraint into adjacent domains, and distorts either price discovery or knowledge routing enough to mislead decision-makers. Debt service ratios that crowd out capital budgets qualify because they turn solvable maintenance into deferral; interconnection queues qualify because they convert funded projects into calendar drift; credential inflation qualifies when it lengthens time-to-competence without a commensurate safety or quality gain. By contrast, a noisy headline without measurable carry-through is not a burden indicator; neither is a temporary price spike that clears with capacity additions. The difference is persistence, cross-domain spread, and the size of the shadow it casts over later choices.</w:t>
        <w:br/>
        <w:br/>
        <w:t>Two tests keep the concept honest. First, invariance under narrative: if we retell 2017’s V.C. Summer cancellation or 2023’s nuclear phaseout in Germany using friendlier language, the constraint profile should look the same—lost steady megawatts, skill decay, longer reliance on variable sources and gas. Second, forward checkability: an indicator earns its keep by predicting where error budgets will snap next, whether in a port yard, a surgical ward, or a transformer factory. An analysis that cannot name a near-term binding point is not diagnosing a burden but describing a mood.</w:t>
        <w:br/>
        <w:br/>
        <w:t>This coupling also clarifies why well-meaning policy can underdeliver. Interventions that raise valuations while leaving process slack untouched will improve sentiment without loosening the real bind; reforms that improve discovery while ignoring apprenticeship time will spread instructions no one has hours to apply. The aim of the next page is to specify stakes in the concrete: where the constraints, if left on their present slope, bind first and how that binding forecloses choices downstream. The cost is not theatrical collapse; it is a civilization that hesitates, and then discovers that the space for correction has quietly closed.</w:t>
        <w:br/>
      </w:r>
    </w:p>
    <w:p/>
    <w:p>
      <w:pPr>
        <w:jc w:val="left"/>
      </w:pPr>
      <w:r>
        <w:rPr>
          <w:b/>
        </w:rPr>
        <w:t>Page 9 – The Stakes</w:t>
      </w:r>
    </w:p>
    <w:p>
      <w:r>
        <w:t>If the current slopes persist, constraints bind in a predictable order. Interconnection queues and transformer shortages will cap grid additions first; lead times on high-capacity equipment already stretch into 2026–27 in multiple jurisdictions. Hospitals will continue to clear backlogs unevenly where anesthesia, imaging, and specialized nursing remain the bottleneck rather than floor space or funding. Ports will oscillate between idle and overload as chassis rotation and yard density—not freight credit—govern flow. Each bind is local, but the coupling converts them into policy: cities defer electrification targets, clinics ration procedures by triage algorithm, manufacturers redesign product lines around components that can actually be procured. The option-space narrows without ceremony.</w:t>
        <w:br/>
        <w:br/>
        <w:t>A forward burden indicator worth tracking over the next 24–36 months is the ratio of firm supply to firm demand during peak hours in two test regions—one with accelerating retirements and one with rapid load growth. When that ratio spends more weeks below a prudent reserve margin, downstream choices close: utilities price scarcity more aggressively; regulators accept more curtailment; industry postpones energy-intensive expansions. A second checkable metric is median interconnection time from application to energization for mid-sized projects. If that median continues to lengthen even as capital is abundant, we are observing decouple directly: financing works; throughput does not.</w:t>
        <w:br/>
        <w:br/>
        <w:t>Information friction amplifies the same stakes. When discovery systems reweight attention away from slow, technical content, error budgets at the edge widen. An engineering postmortem that arrives six months late because distribution slipped under new ranking rules is not a cultural inconvenience; it is a quiet tax paid as duplicated failures and avoidable recalls. The cost shows up as competence debt booked to future quarters: more documentation to compensate for missing tacit knowledge, more checklists in place of training, more supervision to catch mistakes the checklist cannot anticipate.</w:t>
        <w:br/>
        <w:br/>
        <w:t>None of this resembles melodrama. Budgets still balance on paper; indices can set highs; headlines can celebrate launches. What closes is the set of feasible corrections. When binding points move up the calendar, leaders trade structural fixes for patches that calm prices and feeds. After enough such trades, the system can no longer absorb a large initiative—transmission build-outs, apprenticeship overhauls, reactor restarts—at the speed warranted by events. The bill for postponement matures precisely when confidence is highest that postponement works. The next page names the mechanism behind that paradox—the logic of betrayal—as an incentive surface that rewards the appearance of relief over the restoration of capacity, and shows how to recognize it before it writes the next constraint.</w:t>
        <w:br/>
      </w:r>
    </w:p>
    <w:p/>
    <w:p>
      <w:pPr>
        <w:jc w:val="left"/>
      </w:pPr>
      <w:r>
        <w:rPr>
          <w:b/>
        </w:rPr>
        <w:t>Page 10 – Hand-Off to Mechanics</w:t>
      </w:r>
    </w:p>
    <w:p>
      <w:r>
        <w:t>The pattern that closes option-space is not theatrical failure but a mechanism: incentives that reward the appearance of relief over the restoration of capacity. Prices are calmed, sentiment rallies, and the queue still grows. Attention is spent on statements about throughput rather than throughput itself. The result is a civilization fluent in reassurance and short of delivered work.</w:t>
        <w:br/>
        <w:br/>
        <w:t>Call this the logic of betrayal—not a conspiracy, but an incentive surface that quietly pays actors to optimize for signals misread as solutions. Ministries claim progress because budget lines moved, platforms display trust badges while discovery for slow technical content falls, firms announce builds that stall at interconnection. Everyone can point to activity; few can point to added throughput. The betrayal is structural: choices that look aligned with public goals under narrow metrics extract value from the future by shifting real risk off today’s balance sheet.</w:t>
        <w:br/>
        <w:br/>
        <w:t>Its tools are familiar. Alibis that convert delays into process virtue (“due diligence,” “stakeholder engagement”) without corresponding reductions in error; rent extraction through bottlenecks positioned at the only workable gate; credential drift that lengthens time-to-competence while protecting incumbents; measurement choice that privileges valuation over capacity or counts starts over finishes. In each case, the actor’s move is rational locally; the system’s outcome is narrower option-space globally.</w:t>
        <w:br/>
        <w:br/>
        <w:t>This logic is diagnosable before it fully binds. Look for widening gaps between announced capacity and energized capacity; for KPI bundles that track spend and sentiment but not delivered units; for rising shares of work devoted to compliance artifacts that do not reduce rework; for project plans heavy on communication and light on sequencing of crews, outages, and inspections. Where such signatures accumulate, the mechanism is already active: the game pays for optics, not for competence.</w:t>
        <w:br/>
        <w:br/>
        <w:t>Chapter 2 takes this from motif to map. It names the specific incentive gradients, the alibi structures that shield them, and the extraction points that profit from them. It asks where realignment would flip payoffs—so that the same actors, pursuing their own advantage, are pulled toward capacity and away from its simulacra. The stakes are simple: mechanisms that reward delivered work expand option-space; mechanisms that reward its appearance spend it.</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