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Chapter 2 – The Logic of Betrayal</w:t>
      </w:r>
    </w:p>
    <w:p>
      <w:r>
        <w:t xml:space="preserve"/>
      </w:r>
    </w:p>
    <w:p>
      <w:r>
        <w:rPr>
          <w:b/>
        </w:rPr>
        <w:t xml:space="preserve">Page 1 – Language of Inversion</w:t>
      </w:r>
    </w:p>
    <w:p>
      <w:r>
        <w:t xml:space="preserve">Betrayal begins with vocabulary. If words that once defended a people are recoded to indict it, the defenses fail before a law is changed. The method is consistent across systems: rename fidelity as danger, rename dissolution as virtue, and teach institutions to act accordingly.</w:t>
      </w:r>
    </w:p>
    <w:p>
      <w:r>
        <w:t xml:space="preserve">A clear historical template is the Soviet show trial. Between 1936 and 1938, loyal party figures were charged as traitors; confessions were elicited under threat and read as proof; verdicts were predetermined; sentences signaled orthodoxy. The legal form remained—a court, an indictment, a judgment—but meaning inverted: loyalty was prosecuted as treason, and the performance of “justice” became the ritual of power. The point is not exotic horror; it is mechanism. Once vocabulary is captured, procedure can deliver the opposite of its stated purpose.</w:t>
      </w:r>
    </w:p>
    <w:p>
      <w:r>
        <w:t xml:space="preserve">A softer, institutional variant matured in Western academies and courts. Critical legal studies advanced the claim that law is indeterminate and ultimately an instrument of prevailing power. In practice, this frame legitimized selective reinterpretations: long-standing categories—merit, duty, sovereignty—were re-described as masks for domination. Courts and agencies then acquired a lexicon in which enforcement against continuity could be narrated as fairness, and indulgence toward dissolution as equity. The statute did not always change; the glossary did.</w:t>
      </w:r>
    </w:p>
    <w:p>
      <w:r>
        <w:t xml:space="preserve">Administrative language completed the loop. Style guides and policy manuals replaced familial and civic terms with generic categories: “mother” and “father” became “parent/guardian,” “citizen” became “resident,” “husband/wife” became “spouse/partner,” “border enforcement” became “migration management.” The shift looks minor—just nomenclature—but it resets what counts. Benefits, duties, and protections attach to whatever the form names; redefine the parties and the obligations move. Over time, institutions behave as if the new categories were the original reality.</w:t>
      </w:r>
    </w:p>
    <w:p>
      <w:r>
        <w:t xml:space="preserve">Across examples, inversion is not a slogan; it is an operating technique. Keep the ceremony of law and the cadence of compassion; rotate the definitions beneath them. The result is predictable: defenses that once guarded continuity become triggers for sanction, while measures that dissolve it are praised as moral progress.</w:t>
      </w:r>
    </w:p>
    <w:p>
      <w:r>
        <w:t xml:space="preserve">This chapter proceeds on that premise and applies it page by page: where language flips meaning, practice follows; and where practice follows, continuity is harmed. The tribunal’s charge, stated briefly, is to restore the original meanings to the offices that require them.</w:t>
      </w:r>
    </w:p>
    <w:p>
      <w:r>
        <w:rPr>
          <w:b/>
        </w:rPr>
        <w:t xml:space="preserve">Page 2 – Peace as Operating System</w:t>
      </w:r>
    </w:p>
    <w:p>
      <w:r>
        <w:t xml:space="preserve">“Peace” shifted from the fruit of order to the pretext for suspending it. The language stayed humane; the procedures made sovereignty conditional.</w:t>
      </w:r>
    </w:p>
    <w:p>
      <w:r>
        <w:t xml:space="preserve">Strategic deterrence as paralysis. During the Cold War, Mutually Assured Destruction established a real deterrent; politically it functioned as a veto on confrontation. Cabinets learned to translate near-term sovereignty claims into “stability risks.” Procurement, forward posture, and alliance politics were measured against escalation models; initiatives died in interagency for being “destabilizing,” not for being unsound. The operating rule settled in: if assertion might raise risk, assertion is irresponsible.</w:t>
      </w:r>
    </w:p>
    <w:p>
      <w:r>
        <w:t xml:space="preserve">International interventions under peace labels. From the 1990s forward, operations framed as peacekeeping or humanitarian necessity normalized coercion in the idiom of restraint. Authorizations and mandates (UN Security Council resolutions, alliance communiqués, national executive findings) provided legal cover; rules of engagement (ROE) were tuned to minimize visible footprint while pursuing regime or policy outcomes. The administrative effect was double: interventions proceeded, while domestic debate was constrained by the accusation that opposition endangered “peace.” When mandates expanded mid-operation, objections were met with the same frame—support the mission to stabilize peace, or be counted among the reckless.</w:t>
      </w:r>
    </w:p>
    <w:p>
      <w:r>
        <w:t xml:space="preserve">Alliance “stability” over sovereignty. In practice, alliance structures translated “peace” into compliance. Out-of-area operations, basing access, and intelligence sharing were linked to political alignment; dissenters saw funding, procurement, or participation costs. The phrase “maintain peace and stability” migrated into communiqués that, once cited in national policy, limited independent maneuver. The signal to parliaments was clear: vote the line or be blamed for endangering peace.</w:t>
      </w:r>
    </w:p>
    <w:p>
      <w:r>
        <w:t xml:space="preserve">Domestic public-safety regimes. At home, omnibus security laws fused surveillance expansions and administrative emergency powers with language of de-escalation and safety. Sunset clauses rolled forward; definitions of “critical infrastructure” widened; protest and assembly regulations layered permits with discretionary denial criteria. Local executives acquired standing authorities usable outside acute emergencies. Critics were told that opposing the measures placed public peace at risk; review boards tightened paperwork while leaving scope intact.</w:t>
      </w:r>
    </w:p>
    <w:p>
      <w:r>
        <w:t xml:space="preserve">Across these theaters, “peace” performed the same function: not a negotiated outcome after justice, but a standing condition used to discipline assertion of sovereignty. The vocabulary softened the edge; the machinery made the softness compulsory. The next page tracks how this frame moved from speech into instinct—citizens internalizing that dissent itself is a threat to peace.</w:t>
      </w:r>
    </w:p>
    <w:p>
      <w:r>
        <w:rPr>
          <w:b/>
        </w:rPr>
        <w:t xml:space="preserve">Page 3 – Internalization of Peace Doctrine</w:t>
      </w:r>
    </w:p>
    <w:p>
      <w:r>
        <w:t xml:space="preserve">Once “peace” is institutionalized as a standing pretext, citizens learn to treat dissent as risk. The leash no longer needs to be visible; it is worn voluntarily.</w:t>
      </w:r>
    </w:p>
    <w:p>
      <w:r>
        <w:t xml:space="preserve">Strategic culture. After successive crises, cabinets and editorial boards normalized a test that measured proposals not by merit but by “stability impact.” The vocabulary migrated into civil life. Assertions of border control, energy independence, or institutional reform were evaluated first for their potential to “inflame” or “destabilize,” and only second for substance. The lesson was consistent: avoid initiatives that attract the accusation of endangering peace.</w:t>
      </w:r>
    </w:p>
    <w:p>
      <w:r>
        <w:t xml:space="preserve">Domestic security practice. Omnibus security packages fused emergency powers with public-safety rhetoric; sunset clauses rolled forward by routine reauthorization. Definitions of “critical infrastructure” expanded; administrative discretion widened for restrictions on assembly near such sites. Airports, financial services, and telecommunications layered compliance routines that trained the public to accept surveillance and disclosure as ordinary civic duty. Over time, refusal to comply was coded as anti-social rather than as a legitimate request for warrants and limits.</w:t>
      </w:r>
    </w:p>
    <w:p>
      <w:r>
        <w:t xml:space="preserve">Corporate and HR governance. Workplace policies incorporated “safety” and “harm minimization” language into speech, event, and association codes. Internal complaint processes categorized certain political or policy expressions as creating hostile environments or reputational risk. Employees adapted speech and affiliation to the policy, not the law. The cumulative effect was clear: controversy itself became a violation, so the range of sayable positions narrowed without litigation.</w:t>
      </w:r>
    </w:p>
    <w:p>
      <w:r>
        <w:t xml:space="preserve">Media and platform framing. Editorial style shifted from adversarial testing of official claims to harmonization with “peace/stability” narratives. On social platforms, “trust and safety” regimes operationalized the same instinct: labels, downranking, and enforcement against content deemed destabilizing to public order. Retractions or revisions, when they occurred, arrived after the cycle in which the position mattered. Users learned through experience that certain topics invited penalties even when factually grounded.</w:t>
      </w:r>
    </w:p>
    <w:p>
      <w:r>
        <w:t xml:space="preserve">Civic reflex. Protest permitting regimes increasingly required burdensome pre-approvals, route constraints, and insurance provisions; last-minute denials were justified as necessary to prevent disorder. Financial de-banking and payment-service restrictions were applied to groups framed as public-order risks. The public read the signal: contestation is administratively expensive; neutrality is prudent.</w:t>
      </w:r>
    </w:p>
    <w:p>
      <w:r>
        <w:t xml:space="preserve">None of these mechanisms abolishes formal rights; they invert their default use. The habit formed is caution: do not assert what might be labeled disruptive to peace. That instinct, once widespread, achieves what policy alone could not—self-censorship in the name of stability. The next page shows how “prosperity” is used in the same way: not as attainment, but as a tether that disciplines sovereignty.</w:t>
      </w:r>
    </w:p>
    <w:p>
      <w:r>
        <w:rPr>
          <w:b/>
        </w:rPr>
        <w:t xml:space="preserve">Page 4 – Prosperity as Dependence</w:t>
      </w:r>
    </w:p>
    <w:p>
      <w:r>
        <w:t xml:space="preserve">“Prosperity” was sold as emancipation; in practice it functioned as a tether. Access to capital and markets arrived with structures that disciplined domestic choices.</w:t>
      </w:r>
    </w:p>
    <w:p>
      <w:r>
        <w:t xml:space="preserve">Postwar aid as policy alignment. The Marshall framework rebuilt capacity but tied macro-policy to donor preferences. Aid tranches and counterpart funds were conditioned on exchange-rate, fiscal, and trade orientations; procurement rules favored specified vendors; integration metrics rewarded conformity. The message to ministries was practical: development money is available if policy tracks the sponsors’ architecture. Divergence risked funding and access.</w:t>
      </w:r>
    </w:p>
    <w:p>
      <w:r>
        <w:t xml:space="preserve">North American integration and industrial hollowing. Under NAFTA, tariff elimination and investor protections stabilized cross-border supply chains; dispute panels disciplined local-content and performance requirements. When plants re-sited to chase wage arbitrage and regulatory differentials, the legal environment made reversal costly. Regions that lost foundry, machine, or textile capacity were told the losses were efficiency gains; retraining funds arrived, but the missing capability did not. The wage ladder compressed; apprenticeships thinned; local shops converted to distribution.</w:t>
      </w:r>
    </w:p>
    <w:p>
      <w:r>
        <w:t xml:space="preserve">Rules-based trade and the 2001 China accession. WTO commitments—national treatment, most-favored-nation, and TRIPS/TRIMS disciplines—standardized openness while limiting targeted industrial policy. With China’s entry, global supply chains re-optimized around scale advantages; dispute settlement and anti-retaliation norms constrained rapid defensive moves. The consumer-price benefit was visible; the structural cost was a dependency loop in critical inputs (from tooling to active pharmaceutical ingredients) that domestic policy could no longer easily unwind without breaching commitments.</w:t>
      </w:r>
    </w:p>
    <w:p>
      <w:r>
        <w:t xml:space="preserve">IMF programs and conditionality. When balance-of-payments crises hit, stand-by arrangements exchanged FX and credibility for reforms that typically meant devaluation, subsidy removal, privatization, and wage restraint. Balance sheets improved; political capital and social reserves were drawn down. The long-run effect was a state that met external metrics while losing internal discretion: ministries could show compliance to creditors but could not easily shield families, farms, or workshops from shock.</w:t>
      </w:r>
    </w:p>
    <w:p>
      <w:r>
        <w:t xml:space="preserve">Procurement and finance as ongoing levers. Development banks and export-credit agencies attached environmental, governance, and sourcing conditions to project finance; national procurement laws aligned to international commitments. Over time, “best value” and “non-discrimination” clauses steered contracts to transnational suppliers at scales locals could not match. Domestic industry tracked the paperwork: what qualified for financing and public tenders defined what survived.</w:t>
      </w:r>
    </w:p>
    <w:p>
      <w:r>
        <w:t xml:space="preserve">Across these channels, prosperity worked as operating system: budget support, market access, and cheap goods in exchange for policy space surrendered. The vocabulary promised growth; the instruments fixed direction. The next page shows how “progress” was framed to normalize the erasure of memory and standards that would otherwise resist such arrangements.</w:t>
      </w:r>
    </w:p>
    <w:p>
      <w:r>
        <w:rPr>
          <w:b/>
        </w:rPr>
        <w:t xml:space="preserve">Page 5 – Progress as Dissolution</w:t>
      </w:r>
    </w:p>
    <w:p>
      <w:r>
        <w:t xml:space="preserve">“Progress” became a license to erase what anchored continuity. The claim was moral improvement; the practice was removal—of memory, form, and standards.</w:t>
      </w:r>
    </w:p>
    <w:p>
      <w:r>
        <w:t xml:space="preserve">Revolutionary progress as cultural erasure. During the PRC’s Cultural Revolution (1966–1976), central directives empowered Red Guard campaigns to destroy “the Four Olds” (old ideas, culture, customs, habits). The mechanisms were administrative: work-unit meetings, denunciation rallies, and local committees authorized confiscations and demolitions. Temples, archives, inscriptions, and family genealogies were defaced or burned; teachers and caretakers were purged. The declared outcome was the “new man”; the actual outcome was a population cut from a usable past. The vocabulary of progress formalized a policy of amnesia.</w:t>
      </w:r>
    </w:p>
    <w:p>
      <w:r>
        <w:t xml:space="preserve">Institutional progress as standards drift. In Western arts and architecture, grant-making bodies, juries, and procurement rules recalibrated merit. Grant criteria and selection panels increasingly rewarded novelty and transgression over craft continuity; academic programs reframed mastery as “problematic normativity.” In architecture, competition briefs and sustainability scoring pushed toward icon projects indifferent to human scale and memory, while heritage protections narrowed or were recoded as impediments to equity or growth. The result was not innovation anchored in form but a style of perpetual rupture underwritten by public money and sealed by professional guilds. Progress was redefined as the negation of standards.</w:t>
      </w:r>
    </w:p>
    <w:p>
      <w:r>
        <w:t xml:space="preserve">Municipal progress as memory policy. City councils adopted processes that relabeled monuments and place-names as hazards to inclusion. The pathway was procedural: commission a review; redefine harm thresholds; downgrade or remove heritage status; authorize removal for safety or public order. Contracting then delivered the physical change: plinths cleared, plaques rewritten, dates edited. Communities were told that erasure was a necessary step toward a better civic future. The effect was measurable: civic literacy thinned, shared reference points disappeared, and the ability to narrate a common story declined.</w:t>
      </w:r>
    </w:p>
    <w:p>
      <w:r>
        <w:t xml:space="preserve">Across these domains, “progress” replaced the duty to conserve and refine with the mandate to sever and replace. Mechanisms did the work: decrees and rubrics, panels and briefs, council votes and procurement. What had sheltered continuity—forms that carried memory forward—were reframed as obstacles to justice and growth. The tribunal’s contention, stated briefly, is that improvement without inheritance is not progress but programmed forgetting, and the bill for that forgetting arrives later as disorientation and drift.</w:t>
      </w:r>
    </w:p>
    <w:p>
      <w:r>
        <w:rPr>
          <w:b/>
        </w:rPr>
        <w:t xml:space="preserve">Page 6 – Justice as Weapon</w:t>
      </w:r>
    </w:p>
    <w:p>
      <w:r>
        <w:t xml:space="preserve">Once language and prosperity frames were in place, justice itself was repurposed. The forms remained—indictments, hearings, commissions—but procedure delivered outcomes opposite to the words on the seal.</w:t>
      </w:r>
    </w:p>
    <w:p>
      <w:r>
        <w:t xml:space="preserve">Show trials as orthodoxy enforcement. In the Stalinist purges, charges of conspiracy and sabotage were drafted to fit political needs; confessions were elicited under duress; verdicts were predetermined by party directives. Courts preserved ceremony—robes, prosecutors, witnesses—but functioned as loyalty tests. The public learned a durable lesson: legal form can be used to invert substance, turning protection into performance.</w:t>
      </w:r>
    </w:p>
    <w:p>
      <w:r>
        <w:t xml:space="preserve">Process as punishment in liberal systems. In Western jurisdictions, a different technique matured. Investigations and civil actions were extended to create punitive cost regardless of verdict: venue shopping to friendly circuits; expansive discovery burdens; parallel regulatory inquiries; protective orders that restricted public defense while leaks set narrative; plea offers traded for financial ruin avoidance. For political dissidents or inconvenient actors, the penalty arrived through time, expense, and reputation attrition; for well-connected economic actors, resolution often came via settlement without admission, deferred prosecution agreements, and compliance monitors. The asymmetry was not theoretical: the same enforcement architecture that could immobilize a small firm or individual was calibrated to preserve large institutions deemed systemically important.</w:t>
      </w:r>
    </w:p>
    <w:p>
      <w:r>
        <w:t xml:space="preserve">Selective enforcement and negotiated impunity. Charging decisions displayed a pattern: aggressive pursuit of process crimes and speech-adjacent offenses; lenience on complex, diffuse harms that implicated major institutions. Statutes of limitation, scienter hurdles, and corporate form were used defensively for elites while expansive interpretations of “obstruction,” “false statements,” or “conspiracy” captured opponents. Administrative law added a track where agencies could impose penalties and debarments without full judicial tests, converting compliance regimes into bargaining leverage.</w:t>
      </w:r>
    </w:p>
    <w:p>
      <w:r>
        <w:t xml:space="preserve">Non-US anti-corruption cycles. Campaigns launched with mass arrests and asset recoveries frequently concluded with plea deals, sentence reductions, or appellate reversals. Commissions produced extensive reports and recommendations; legislation followed; enforcement settled into negotiated outcomes. The public record showed funds clawed back and offices reshuffled; the operating reality showed recurring networks adapting, legal risks priced in, and principal figures variably insulated depending on their alignment to the new order.</w:t>
      </w:r>
    </w:p>
    <w:p>
      <w:r>
        <w:t xml:space="preserve">Across contexts, the common mechanism is instrumentalization: keep the court, change the use. Where justice restores continuity, penalties fall proportionally on harms done and deter repetition; where justice is weaponized, penalties track political positioning, scale immunity, or narrative management. The tribunal’s contention, stated briefly, is that a system that prices crime for the powerful and criminalizes process for the oppositional has inverted its purpose and invites the collapse of trust that follows on the next page.</w:t>
      </w:r>
    </w:p>
    <w:p>
      <w:r>
        <w:rPr>
          <w:b/>
        </w:rPr>
        <w:t xml:space="preserve">Page 7 – Collapse of Trust</w:t>
      </w:r>
    </w:p>
    <w:p>
      <w:r>
        <w:t xml:space="preserve">When inversions accumulate, trust dissolves not in debate but in behavior. People stop expecting institutions to correct themselves and adjust their lives accordingly.</w:t>
      </w:r>
    </w:p>
    <w:p>
      <w:r>
        <w:t xml:space="preserve">Finance (2008): Structured products rated investment-grade failed systemically; emergency facilities stabilized institutions while households entered foreclosure. TARP and related programs preserved counterparties; retention packages kept key staff; homeowners faced short sales, deficiency judgments, and credit scarring. The signal was unambiguous: losses could be socialized upward but not forgiven downward. Subsequent reforms expanded documentation and capital buffers; they did not restore the intuition that misconduct would be punished proportionally to harm.</w:t>
      </w:r>
    </w:p>
    <w:p>
      <w:r>
        <w:t xml:space="preserve">Public health/regulatory (opioids): Manufacturers and distributors resolved major actions through settlements without admissions; fines were booked against future revenues; compliance monitors were installed; licenses remained. Counties recorded overdose deaths and foster placements; families absorbed the remainder. The practical lesson was that catastrophic externalities could be priced. Where the ledger replaces sentence, confidence in the system’s conscience erodes.</w:t>
      </w:r>
    </w:p>
    <w:p>
      <w:r>
        <w:t xml:space="preserve">Civic participation and parallel systems: Voter turnout patterns fluctuate with mobilization drives, but durable measures of confidence—surveyed trust in media, government, and courts—trended down in the same period. Households diversified away from domestic institutions they judged fragile: cash holdings rose; precious-metals and crypto participation increased at retail margins; second passports and foreign residencies gained appeal among those with means; skilled workers emigrated from jurisdictions perceived as stagnant or predatory. Local mutual-aid networks and private arbitration grew where public services underperformed. None of this requires manifestos; it is the arithmetic of exit.</w:t>
      </w:r>
    </w:p>
    <w:p>
      <w:r>
        <w:t xml:space="preserve">Street-level indicators: Municipalities with chronic procurement and service failures registered predictable responses: commercial districts closed earlier; insurance premia rose; private security expanded; schools lost enrollment to homeschooling or private consortia; charitable giving shifted from institutions to direct relief. The visible city adapted to a presumption that formal systems would not protect value or enforce standards evenly.</w:t>
      </w:r>
    </w:p>
    <w:p>
      <w:r>
        <w:t xml:space="preserve">Trust collapses in three moves: first, exposure outpaces consequence; second, rules are experienced as selective; third, citizens act as if they are on their own. At that point, exhortation no longer repairs the breach; only demonstrable, even-handed restoration does. The next page states the normative frame by which restoration will be measured: continuity—children, language, land, skill, security—as the test of whether authority deserves confidence again.</w:t>
      </w:r>
    </w:p>
    <w:p>
      <w:r>
        <w:rPr>
          <w:b/>
        </w:rPr>
        <w:t xml:space="preserve">Page 8 – Natural Law Frame: Continuity Betrayed</w:t>
      </w:r>
    </w:p>
    <w:p>
      <w:r>
        <w:t xml:space="preserve">Natural law measures legitimacy by continuity kept. Continuity is not a slogan; it is the working set of obligations by which a people persists as itself:</w:t>
      </w:r>
    </w:p>
    <w:p>
      <w:r>
        <w:t xml:space="preserve">
          - Children are conceived, born, and raised inside durable households.
          <w:br/>
          - Language carries duties and law without euphemism.
          <w:br/>
          - Land is stewarded so soil, water, seedlines, and fisheries outlast any budget cycle.
          <w:br/>
          - Skill is transmitted so tools, trades, and disciplines do not vanish with a cohort.
          <w:br/>
          - Security prevents predation and preserves a border where authority can answer for its acts.
        </w:t>
      </w:r>
    </w:p>
    <w:p>
      <w:r>
        <w:t xml:space="preserve">Applied to the previous pages, the verdict is straightforward:</w:t>
      </w:r>
    </w:p>
    <w:p>
      <w:r>
        <w:t xml:space="preserve">Peace as operating system breached continuity by disciplining sovereignty. When “stability” language turns border enforcement, energy independence, or institutional reform into presumed risks, households absorb higher crime, pricier energy, and slower correction. Mechanism: emergency powers that roll forward; alliance communiqués that condition national policy; protest and assembly controls framed as order maintenance.</w:t>
      </w:r>
    </w:p>
    <w:p>
      <w:r>
        <w:t xml:space="preserve">Prosperity as dependence breached continuity by trading policy space for access. When NAFTA-style integration, WTO disciplines, and IMF conditionality make reversal costly, regions lose foundry, toolroom, and apprenticeship ladders; farms and shops become assets to liquidate rather than inherit. Mechanism: investor–state dispute settlement, national-treatment clauses, privatization and wage-restraint covenants, procurement rules that preference scale over locality.</w:t>
      </w:r>
    </w:p>
    <w:p>
      <w:r>
        <w:t xml:space="preserve">Progress as dissolution breached continuity by stripping memory and standards. When grant regimes, curriculum decrees, and heritage-status changes reward rupture over refinement, citizens inherit fewer shared forms and weaker civic literacy. Mechanism: panel criteria that prize novelty, council motions that redefine harm thresholds, competition briefs indifferent to human scale and craft.</w:t>
      </w:r>
    </w:p>
    <w:p>
      <w:r>
        <w:t xml:space="preserve">Justice as weapon breached continuity by breaking proportion. When catastrophic harms are settled without admission and process crimes are pursued selectively, the public reads that innocence is less protection than proximity to power. Mechanism: deferred prosecution agreements, venue shopping, parallel agency actions, and settlement language that books fines against future revenues.</w:t>
      </w:r>
    </w:p>
    <w:p>
      <w:r>
        <w:t xml:space="preserve">By this standard, betrayal is not a mood; it is a pattern of policy choices that predictably sever the five links—children, language, land, skill, security. The tribunal’s contention, stated briefly, is that authority regains legitimacy only by restoring those links in order, not by rebranding the outcomes. The next page applies the third-position lens: why both imperial centralism and managerial globalism converge on the same dissolutions—and why the alternative is confederated sovereignty ordered to abundance.</w:t>
      </w:r>
    </w:p>
    <w:p>
      <w:r>
        <w:rPr>
          <w:b/>
        </w:rPr>
        <w:t xml:space="preserve">Page 9 – Third-Position Lens: Two Vectors of Betrayal</w:t>
      </w:r>
    </w:p>
    <w:p>
      <w:r>
        <w:t xml:space="preserve">The real divide is not between empire and globalization; it runs between two vectors that often work together. One promises stability through fear; the other promises ease through forgetfulness. The first borrows the language of peace and justice to make assertion of sovereignty look reckless and punishment appear partisan necessity. The second borrows the language of prosperity and progress to make dependency look like growth and amnesia like improvement. Together they convert the vocabulary of order into the instruments of its undoing.</w:t>
      </w:r>
    </w:p>
    <w:p>
      <w:r>
        <w:t xml:space="preserve">Stability-through-fear begins politely. “Peace” becomes the standing reason to postpone anything that would restore self-command: border enforcement is recast as provocation, baseload energy as destabilizing, institutional reform as a threat to social calm. Emergency powers roll forward; mandates and communiqués migrate into domestic guidance; protests are processed as public-order risks rather than civic speech. When contestation survives that filtration, “justice” arrives as performance—process extended for opponents until cost becomes the penalty, lenience negotiated for systemically important actors until harm becomes a fee. Citizens learn to count on neither rescue nor proportion. They quiet themselves, which is the point.</w:t>
      </w:r>
    </w:p>
    <w:p>
      <w:r>
        <w:t xml:space="preserve">Ease-through-forgetfulness arrives with better manners. “Prosperity” offers access to capital and markets so long as policy space narrows to fit external timetables; factories move, toolrooms close, apprenticeships thin, but consumer prices flatter the ledger. “Progress” completes the conversion by redefining standards as obstacles: grants reward rupture, curricula shave the joints off inherited forms, heritage status is recoded as impediment. The city still stands, but its memory is filed under liability; the family still exists, but its legal nouns are dissolved into categories that cannot bind.</w:t>
      </w:r>
    </w:p>
    <w:p>
      <w:r>
        <w:t xml:space="preserve">These vectors are not rivals; they are complements. Stability-through-fear polices the edges—what may be said, assembled, audited—while ease-through-forgetfulness hollows the center—what is taught, made, inherited. One teaches people to doubt the legitimacy of asserting themselves; the other removes the content worth asserting. By the time both have run, households carry higher bills for thinner lives, and the institutions that should answer for it speak a language that explains everything and denies everyone.</w:t>
      </w:r>
    </w:p>
    <w:p>
      <w:r>
        <w:t xml:space="preserve">The corrective lens is simple: reject fear as a pretext and forgetfulness as a virtue. Sovereignty must be exercised without apology, and abundance must be built without erasing the forms that carry a people forward. In the tribunal’s terms, both vectors betray continuity by design; only a confederated order oriented to real abundance can break their partnership.</w:t>
      </w:r>
    </w:p>
    <w:p>
      <w:r>
        <w:rPr>
          <w:b/>
        </w:rPr>
        <w:t xml:space="preserve">Page 10 – Summons to Confront Betrayal</w:t>
      </w:r>
    </w:p>
    <w:p>
      <w:r>
        <w:t xml:space="preserve">The argument of this chapter has been practical: vocabulary was recoded so that the words for order did the work of its removal. If “peace” suspends sovereignty, if “prosperity” prices policy space, if “progress” severs memory, and if “justice” protects scale and punishes dissent, then betrayal is not a mood but a set of choices with predictable effects. The next step is to say how those choices will be judged.</w:t>
      </w:r>
    </w:p>
    <w:p>
      <w:r>
        <w:t xml:space="preserve">The criteria are four and they are public. First, intention: whether officials and institutions adopted frameworks that predictably transferred authority away from accountable jurisdictions to venues insulated from recall. Second, competence: whether they knew or had reason to know the likely effects—because precedents, audits, or internal memoranda made them plain. Third, effect: whether continuity suffered in the measurable domains that matter—birth and household formation, language in law and school, stewardship of land and resources, transmission of skill, and the security that defends a border and a street. Fourth, gain: whether advantages, indemnities, or rents were concentrated among those designing or defending the policy while costs dispersed through households and towns.</w:t>
      </w:r>
    </w:p>
    <w:p>
      <w:r>
        <w:t xml:space="preserve">The burden of proof does not rest on the citizen; it rests on those who changed the order. When a policy overturns long-anchored practice—family law, baseload energy, border enforcement, apprenticeship and industry—the sponsors must show that continuity was preserved or improved in fact, not by redefinition. Rebranding does not pass; durable outcomes do.</w:t>
      </w:r>
    </w:p>
    <w:p>
      <w:r>
        <w:t xml:space="preserve">The admissible record is not obscure. Statutes, treaty clauses, executive findings and guidance, budget and procurement lines, licensing actions, dispute-settlement dockets, program timelines, and the demographic and industrial series that register real life—these will be read together. Expert testimony can clarify; institutional behavior over time will decide. When figures conflict with what citizens can count in their homes and streets, the street is presumed truthful unless the books are reconciled.</w:t>
      </w:r>
    </w:p>
    <w:p>
      <w:r>
        <w:t xml:space="preserve">Remedy is not theatre. Where the test shows betrayal—intended or reckless—correction follows in proportion: repeal and clawback; disqualification from offices and boards that were misused; restitution where damage can be priced without compounding the harm; and structural safeguards—hard sunsets, jurisdictional walls, covenant tests—that keep the inverted vocabulary from seizing the levers again. Where the test shows error without betrayal, reform is specified and measured against the same five links of continuity.</w:t>
      </w:r>
    </w:p>
    <w:p>
      <w:r>
        <w:t xml:space="preserve">Stated once in the tribunal’s register and then set down: the court of public life is open, and the standard is continuity kept. From here we move to the alibis at work in practice—how they were built, how they were defended, and how they will be unwound.</w:t>
      </w:r>
    </w:p>
    <w:sectPr>
      <w:pgSz w:w="12240" w:h="15840"/>
      <w:pgMar w:top="1440" w:right="1440" w:bottom="1440" w:left="1440" w:header="708" w:footer="708" w:gutter="0"/>
      <w:cols w:space="708"/>
      <w:docGrid w:linePitch="360"/>
    </w:sectPr>
  </w:body>
</w:document>
</file>