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rPr>
        <w:t>Page 1 – Naming the Mechanism</w:t>
      </w:r>
    </w:p>
    <w:p>
      <w:r>
        <w:t>The “logic of betrayal” is an incentive surface that rewards signals misread as solutions, diverting effort from restoring throughput to producing its appearance. Prices calm, headlines brighten, dashboards turn green—while the queue grows. What looks like progress is often a reshuffle of attention toward metrics that move quickly and away from work that only moves when equipment, crews, permits, and procedures line up.</w:t>
        <w:br/>
        <w:br/>
        <w:t>The contrast is easiest to see wherever announcements outrun completions. Regional grid operators can report record volumes of signed power purchase agreements while energized capacity lags behind interconnection queues; CAISO and ERCOT both publish backlogs in which projects stall at transformers, protection studies, or commissioning windows measured in quarters, not press cycles. In healthcare, appropriations can surge and “backlog addressed” messaging can land, while median wait times for imaging or elective surgery remain flat because anesthesia staffing, device components, and room scheduling do not expand on the same clock as budget lines. The same pattern shows up in industry: corporations tout multi-billion-dollar “capex commitments” even as a single vendor bottleneck—for example, high-voltage transformers or specific lithography steps—sets the pace that everything else must obey.</w:t>
        <w:br/>
        <w:br/>
        <w:t>This is not mere rhetoric drift; it is a structural substitution. Actors are paid—in votes, bonuses, or reputation—when swiftly moving indicators improve: spend authorized, programs launched, announcements made, engagement measured. They are rarely paid at the same rate for finish-rate, energized capacity, mean time between failure, or time-to-competence—the slow metrics that enlarge a society’s option-space. When organizations optimize for the former over the latter, the surface tilts toward appearances that pacify rather than capacity that endures.</w:t>
        <w:br/>
        <w:br/>
        <w:t>The task of this chapter is to map that surface. We will identify the incentive gradients that make appearance lucrative, the alibi structures that convert delay into virtue, the extraction points that monetize managed scarcity, and the measurement choices that confuse activity with addition. The handrail between pages is a simple pair: appearance vs capacity.</w:t>
        <w:br/>
      </w:r>
    </w:p>
    <w:p/>
    <w:p>
      <w:pPr>
        <w:jc w:val="left"/>
      </w:pPr>
      <w:r>
        <w:rPr>
          <w:b/>
        </w:rPr>
        <w:t>Page 2 – The Incentive Surface</w:t>
      </w:r>
    </w:p>
    <w:p>
      <w:r>
        <w:t>“Appearance vs capacity” is not a slogan; it is a pay table. Actors move where rewards sit.</w:t>
        <w:br/>
        <w:br/>
        <w:t>Elected executives use announcements and appropriations as instruments. Rewarded metrics: spend authorized, program count, press cycles, polling deltas. Neglected real metrics: finish-rate (projects reaching commissioning), time to energization, and downstream MTBF/MTTR once assets are live. In 2020–22, pandemic packages and infrastructure bills created visible authorizations at federal and provincial levels; the incentive gradient favored ribbon-ready items and multi-year totals, while interconnection studies, transformer deliveries, and outage windows—the determinants of realized capacity—moved on slower calendars.</w:t>
        <w:br/>
        <w:br/>
        <w:t>Agencies and regulators use permits, guidance, and compliance artifacts. Rewarded metrics: filings processed, consultations held, pages published, legal survivability. Neglected real metrics: error reduction per additional step, cycle time from application to operation. Between 2018 and 2023, several ISOs/TSOs reported queue volumes rising even as study throughput per engineer remained flat; the visible win was “process integrity,” the invisible loss was calendar drift from study recursion and re-studies triggered by upstream changes.</w:t>
        <w:br/>
        <w:br/>
        <w:t>Platforms use ranking objectives and brand-safety policies. Rewarded metrics: dwell time, advertiser acceptance, moderation KPIs. Neglected real metrics: time-to-competence for newcomers, replication visibility for technical fixes. The 2018 News Feed shift toward “meaningful social interactions” and the 2019 changes to borderline-content recommendations improved safety optics; they also reduced distribution of slow technical content that rarely maximizes watch time, taxing attention where instruction lives.</w:t>
        <w:br/>
        <w:br/>
        <w:t>Hospitals and ministries use budget execution and reporting cadence. Rewarded metrics: dollars obligated, “backlog addressed” statements, compliance audit scores. Neglected real metrics: median wait by specialty, staffed-room hours, first-pass yield on procedures. When contrast media shortages hit in 2022, procurement lines moved swiftly; the binding variables were sterilizer cycles, trained radiology staff, and supplier validation—capacities not captured by fiscal burn-rate.</w:t>
        <w:br/>
        <w:br/>
        <w:t>Universities and professional bodies use credential frameworks. Rewarded metrics: accreditation checklists satisfied, program length, graduation counts. Neglected real metrics: supervised hands-on hours to independent practice, early-career error rates. Credential drift raises the signal of rigor while pushing throughput of competence to the right.</w:t>
        <w:br/>
        <w:br/>
        <w:t>Across these domains the mechanism repeats: instruments favor metrics that change fast and look good; the capacity metrics that expand option-space change slow and pay poorly. Page 3 names the rhetoric that shields this substitution—the alibi catalogue—and translates each euphemism into the measurable trade it hides.</w:t>
        <w:br/>
      </w:r>
    </w:p>
    <w:p/>
    <w:p>
      <w:pPr>
        <w:jc w:val="left"/>
      </w:pPr>
      <w:r>
        <w:rPr>
          <w:b/>
        </w:rPr>
        <w:t>Page 3 – The Alibi Catalogue</w:t>
      </w:r>
    </w:p>
    <w:p>
      <w:r>
        <w:t>Alibis are rhetorical frames that convert delay into virtue. They sound prudent because each names a real good—participation, safety, caution, transparency—yet, in use, they substitute a fast, photogenic metric for the slow metric that actually expands capacity. Five common types:</w:t>
        <w:br/>
        <w:br/>
        <w:t>Stakeholder engagement.</w:t>
        <w:br/>
        <w:t>Operational definition: meetings completed are counted as progress regardless of whether conflicts are resolved on the path to a permit.</w:t>
        <w:br/>
        <w:t>Measurable substitution: “sessions held / comments logged” replaces “permits issued on calendar; right-of-way secured; days to notice-to-proceed.”</w:t>
        <w:br/>
        <w:t>Anchor: 2020–22 corridor hearings around transmission upgrades in multiple jurisdictions produced binders of minutes while interconnection backlogs nonetheless lengthened; utilities reported consultation volume rising faster than energized miles.</w:t>
        <w:br/>
        <w:br/>
        <w:t>Pilot forever.</w:t>
        <w:br/>
        <w:t>Operational definition: a trial absorbs budget and attention without a pre-declared go/no-go rule tied to delivered units.</w:t>
        <w:br/>
        <w:t>Measurable substitution: “pilot milestones met” replaces “units commissioned; finish-rate; MTBF after handover.”</w:t>
        <w:br/>
        <w:t>Anchor: 2019–22 municipal tech pilots (mobility, curb management, sensor grids) accumulated quarterly updates and dashboards; deployment footprints remained patchwork with no conversion to citywide service.</w:t>
        <w:br/>
        <w:br/>
        <w:t>Risk committee recursion.</w:t>
        <w:br/>
        <w:t>Operational definition: repeated risk reviews generate artifacts that survive appeal but do not reduce system risk per unit calendar.</w:t>
        <w:br/>
        <w:t>Measurable substitution: “reviews convened; documents cleared” replaces “risk reduced per added step; cycle-time from hazard identification to mitigated operation.”</w:t>
        <w:br/>
        <w:t>Anchor: Post-2018 aviation and medical device environments saw expanded documentation layers; several programs reported more gates but unchanged discovery-to-remediation intervals once a defect was found.</w:t>
        <w:br/>
        <w:br/>
        <w:t>Legal hold.</w:t>
        <w:br/>
        <w:t>Operational definition: preservation and discovery posture becomes the dominant scheduler even when service restoration would lower aggregate exposure.</w:t>
        <w:br/>
        <w:t>Measurable substitution: “litigation exposure minimized” (qualitative) replaces “time-to-service restored; customer-hours without service avoided.”</w:t>
        <w:br/>
        <w:t>Anchor: 2022–23 healthcare procurement disputes over device components produced cautious correspondence trails while hospitals continued to ration imaging due to contrast media shortages.</w:t>
        <w:br/>
        <w:br/>
        <w:t>Communications cadence.</w:t>
        <w:br/>
        <w:t>Operational definition: the frequency and polish of updates substitute for the rate at which queues shrink.</w:t>
        <w:br/>
        <w:t>Measurable substitution: “updates sent; dashboards green” replaces “delta in energized capacity; median days in queue; rework rate.”</w:t>
        <w:br/>
        <w:t>Anchor: During the 2021–22 port congestion at Los Angeles/Long Beach, daily situation reports multiplied; the binding variables—chassis rotation and yard density—moved only when processes and crews were re-sequenced.</w:t>
        <w:br/>
        <w:br/>
        <w:t>Each alibi preserves a legitimate value. The substitution is the problem. When sessions held, pilots extended, reviews convened, holds maintained, and updates published become the rewarded metrics, they crowd out the slow numbers—finish-rate, energized capacity, MTBF/MTTR, time-to-competence—that actually widen a society’s option-space. Page 4 turns to measurement choice directly: how KPI bundles make these substitutions invisible until the gap between appearance and capacity becomes policy.</w:t>
        <w:br/>
      </w:r>
    </w:p>
    <w:p/>
    <w:p>
      <w:pPr>
        <w:jc w:val="left"/>
      </w:pPr>
      <w:r>
        <w:rPr>
          <w:b/>
        </w:rPr>
        <w:t>Page 4 – Measurement Choice</w:t>
      </w:r>
    </w:p>
    <w:p>
      <w:r>
        <w:t>Metrics decide behavior. When dashboards overweight fast, photogenic numbers—appropriations authorized, filings processed, pilots launched—organizations drift toward appearance. When bundles privilege slow, operational numbers—finish-rate, energized capacity delta, MTBF/MTTR, time-to-competence—they tilt back toward capacity. The substitution is rarely declared; it arrives as a change in what leaders read first and what teams are paid for.</w:t>
        <w:br/>
        <w:br/>
        <w:t>Four “right-weight” KPIs anchor this chapter’s argument:</w:t>
        <w:br/>
        <w:br/>
        <w:t>1) Finish-rate (starts that become commissioned assets within the planned window).</w:t>
        <w:br/>
        <w:t>2) Energized capacity delta (net firm output added after outages, attrition, and derates).</w:t>
        <w:br/>
        <w:t>3) MTBF/MTTR (reliability and repair speed once live).</w:t>
        <w:br/>
        <w:t>4) Time-to-competence (calendar from hiring/enrollment to independent practice with acceptable error bars).</w:t>
        <w:br/>
        <w:br/>
        <w:t>Where these four are missing, appearance wins by default. A ministry can celebrate “programs launched” while finish-rate is flat; an ISO can tout “applications processed” while energized capacity delta is nil; a hospital can report “budget executed” while MTTR in imaging or surgery remains unchanged; a university can count “credits delivered” while time-to-competence lengthens behind longer curricula with fewer supervised hours.</w:t>
        <w:br/>
        <w:br/>
        <w:t>Some organizations have moved their bundles. In 2023–24, several North American grid operators (e.g., CAISO, ERCOT) shifted interconnection process emphasis toward readiness screens and milestone discipline, a change that implicitly rewards finish-rate over sheer queue volume. In healthcare after 2022 supply shocks, hospital networks that tracked staffed-room hours and first-pass yield—rather than only appropriations and procedure counts—cleared backlogs faster because the metrics exposed the real bind: anesthesia coverage, device turnarounds, and sterilizer cycles. The point is not that any single KPI “solves” a domain; it is that the bundle must surface the variables that make capacity real in that domain.</w:t>
        <w:br/>
        <w:br/>
        <w:t>A diagnostic map by sector clarifies the substitution:</w:t>
        <w:br/>
        <w:t>- Energy/Grid: Appearance → PPAs signed, queue entries, press cycles. Capacity → energized MW, commissioning lead-time distribution, forced-outage rate, transformer/relay MTTR.</w:t>
        <w:br/>
        <w:t>- Health Systems: Appearance → dollars obligated, procedures booked, compliance artifacts. Capacity → median wait by specialty, staffed-room hours, first-pass yield, device uptime MTBF.</w:t>
        <w:br/>
        <w:t>- Platforms/Knowledge: Appearance → dwell time, brand-safety scores, moderation tallies. Capacity → novice time-to-competence, replication visibility (share of technical posts reaching first-year practitioners).</w:t>
        <w:br/>
        <w:t>- Education/Training: Appearance → graduation counts, accreditation checklist items. Capacity → supervised hours to independence, early-career error rates, remediation time.</w:t>
        <w:br/>
        <w:br/>
        <w:t>A good bundle is anti-theatrical: it makes it impossible to “win” on spend, starts, or sentiment while losing on finish-rate, energized capacity, reliability, or competence. It also travels: leaders can read the same four primitives across agencies without domain fluency and still spot substitution. When incentives align to these primitives, organizations reprice meetings and announcements as costs, not wins.</w:t>
        <w:br/>
        <w:br/>
        <w:t>This is why measurement is not neutral. A civilization’s option-space expands or contracts according to what its dashboards pay for. Page 5 tests the thesis in the concrete: energy and grid infrastructure, where PPAs and queue entries are abundant, but energized capacity and finish-rate remain the numbers that decide whether lights come on.</w:t>
        <w:br/>
      </w:r>
    </w:p>
    <w:p/>
    <w:p>
      <w:pPr>
        <w:jc w:val="left"/>
      </w:pPr>
      <w:r>
        <w:rPr>
          <w:b/>
        </w:rPr>
        <w:t>Page 5 – Case A: Energy/Grid</w:t>
      </w:r>
    </w:p>
    <w:p>
      <w:r>
        <w:t>Energy is where the appearance–capacity split is easiest to audit. Announcements accumulate at the front of the pipeline—PPAs inked, projects “in queue,” groundbreaking photos—while capacity arrives only at the back end: energized megawatts that survive protection tests, relay settings, and commissioning outages. Between 2021–24, multiple ISOs (notably CAISO and ERCOT) reported queues measured in tens of gigawatts; the bottlenecks were not signatures on contracts but the slow steps that money cannot skip: system impact studies, network upgrades, transformer procurement, relay/protection coordination, outage window scheduling, and final commissioning with operating reserves in place.</w:t>
        <w:br/>
        <w:br/>
        <w:t>The mechanism is mechanical. Every interconnection must traverse a staged gantt: feasibility → impact → facilities study; then procurement of long-lead gear; then civil work, stringing, and control integration; then energization under a test plan coordinated with the control room. Fail a study re-run because the topology changed upstream, and months are added; slip a transformer delivery, and the entire window misses. A developer can announce ten projects; a transmission owner can process a hundred applications; none of that changes the finish-rate if the scarce inputs—protection engineers, outage coordination slots, and high-voltage equipment—are fixed.</w:t>
        <w:br/>
        <w:br/>
        <w:t>Measurement choice sets behavior. Count “applications processed” and teams will optimize paperwork throughput; count energized capacity delta and they will optimize network upgrades and commissioning sequencing. Track spend and ribbon cuttings, and the gradient favors near-term optics; track MTBF/MTTR on new assets, and it favors quality checks that avoid year-one derates and forced outages. Where interconnection reforms tightened milestone discipline and readiness screens in 2023–24, attrition rose in the queue but finish-rate improved for the subset that remained because scarce engineers and outage windows were no longer diluted by non-viable entries.</w:t>
        <w:br/>
        <w:br/>
        <w:t>The rent shows up where scarcity is excludable. Queue positions, scarce protection staff hours, and transformer deliveries can all become extraction points when timelines stretch: priority slots trade informally, studies are reworked for a fee, and contingency inventory commands premiums. The data that matters—commissioning lead-time distributions, forced-outage rates after COD, median months from application to energization—is the antidote. When these numbers move, option-space widens: factories commit to load, EV corridors pencil, and grid operators bank reserves rather than hopes. Page 6 applies the same test to health systems and procurement, where budget lines clear quickly but staffed-room hours and device uptime decide whether backlogs actually fall.</w:t>
        <w:br/>
      </w:r>
    </w:p>
    <w:p/>
    <w:p>
      <w:pPr>
        <w:jc w:val="left"/>
      </w:pPr>
      <w:r>
        <w:rPr>
          <w:b/>
        </w:rPr>
        <w:t>Page 6 – Case B: Health/Procurement</w:t>
      </w:r>
    </w:p>
    <w:p>
      <w:r>
        <w:t>Health systems exhibit the same geometry: authorizations move fast; throughput moves when rooms, devices, supplies, and staff align on a clock that budgets do not control. After 2020, appropriations for backlog reduction rose across provinces and states, yet median waits in imaging and elective surgery often tracked the slower variables—anesthesia coverage, device uptime, sterilizer cycles, and staffed-room hours. In 2022, shortages of iodinated contrast media exposed how a single upstream plant constraint could ripple through radiology schedules for weeks; procurement lines stayed green while scanners idled, because the binding steps were clinical validation of substitutes, reconfiguration of protocols, and retraining—tasks measured in calendars, not purchase orders.</w:t>
        <w:br/>
        <w:br/>
        <w:t>The mechanism is again mechanical. A surgical hour exists only when five dependencies overlap: an anesthesiologist and circulating nurse on shift, a prepped room, a sterilized instrument set with documented chain-of-custody, and a patient cleared by pre-op. Failure of any link converts budget executed into calendar drift. Imaging follows similar rules: staffed technologist, functioning scanner with consumables on site, radiologist availability for reads, and IT systems stable enough to move studies across PACS without retries. These are not abstract “constraints”; they are serialized operations with their own MTBF/MTTR and documentation states. One device down or one key role unfilled shifts a full day of cases downstream.</w:t>
        <w:br/>
        <w:br/>
        <w:t>Measurement choice governs the gradient. Count “procedures booked” and managers will stuff calendars; count first-pass yield and staffed-room hours and they will protect prep and turnover quality that preserves the day. Track “dollars obligated” and procurement optimizes compliance artifacts; track device uptime and mean time to re-qualify a substitute vendor and the incentive flips toward inventories, maintenance contracts, and pre-negotiated alternates that actually keep rooms live. Where hospital networks shifted post-2022 to dashboards that surfaced sterilizer throughput, anesthesia coverage ratios, and scanner MTTR, backlogs fell not because more money was appropriated but because latent capacity was sequenced and protected.</w:t>
        <w:br/>
        <w:br/>
        <w:t>Procurement shows its own extraction points. When qualification cycles for substitutes stretch, distributors of scarce components capture rents; when unique device identifiers or kit lots cannot be cross-walked quickly across formularies, logistics teams spend attention on paperwork rather than restoring capacity; when legal posture dominates scheduling after a defect or contamination event, time-to-service restored becomes a secondary metric masked by audit-friendly artifacts. None of this denies the need for safety; it states the trade: safety artifacts that do not reduce rework or error are alibis, not safeguards.</w:t>
        <w:br/>
        <w:br/>
        <w:t>The test is straightforward. If “backlog addressed” press lines rise while median specialty waits and staffed-room hours do not move, appearance has triumphed over capacity. If device uptime improves and first-pass yield climbs while budget execution is flat, the system has found real relief. Page 7 turns to platforms and knowledge routing, where distribution objectives tilt attention away from slow technical material, extending time-to-competence and booking more competence debt that later lands as avoidable errors in places like the OR and the plant floor.</w:t>
        <w:br/>
      </w:r>
    </w:p>
    <w:p/>
    <w:p>
      <w:pPr>
        <w:jc w:val="left"/>
      </w:pPr>
      <w:r>
        <w:rPr>
          <w:b/>
        </w:rPr>
        <w:t>Page 7 – Case C: Platforms/Knowledge</w:t>
      </w:r>
    </w:p>
    <w:p>
      <w:r>
        <w:t>Knowledge moves when novices can reliably find the thing that prevents tomorrow’s mistake. Distribution systems decide that probability. In 2018, Facebook’s News Feed pivot toward “meaningful social interactions” and, in 2019, YouTube’s changes to “borderline” recommendations each pursued defensible goals—reduce junk, reward connection, protect brands. The side effect was predictable: slow technical material—repair notes, replication reports, postmortems, safety bulletins, standards change logs—lost surface area in ranked feeds and autoplay chains that optimize for watch time and social reply. Nothing was censored; the queue just put different tokens at the front.</w:t>
        <w:br/>
        <w:br/>
        <w:t>The mechanism is objective selection. If a ranking model seeks dwell and broad engagement, then niche posts with low initial interaction will be under-sampled; if it prizes brand safety, then content with granular failure language (chemicals, defects, risk terms) is treated cautiously by default. The result is a double tax on competence: experts spend more time packaging to pass filters; novices take longer to encounter the one paragraph that would have prevented a repeat error. Aggregates look healthy—sessions up, violations down—while time-to-competence elongates and competence debt accrues off-platform, booked later as outages and recalls.</w:t>
        <w:br/>
        <w:br/>
        <w:t>Measurement choice again sets behavior. Platforms can show “policy actions taken,” “dwell time,” and “advertiser suitability” in green while the metrics that matter for societal throughput—replication visibility and novice reach for critical technical posts—remain unmeasured. A corrective bundle is simple: track (1) the share of technical posts reaching first-year practitioners within 72 hours, (2) the median hops from a general query (“pump cavitation fix,” “contrast media substitution”) to an authoritative procedure note, and (3) the repeat-incident rate in domains with mature postmortems. When those numbers improve, systems downstream record fewer avoidable errors; when they fall, hospitals, factories, and grids pay.</w:t>
        <w:br/>
        <w:br/>
        <w:t>Extraction points appear here too. Verified channels, pay-to-reach boosts, and proprietary standards repositories can become tolls on attention routing when distribution frictions rise. The rents are not always monetary; many are calendar rents—days or weeks added to discovery because content must be reformatted, refiled, or reputation-gated before it moves. The beneficiaries look like stewards of quality; sometimes they are. But when the finish-rate for knowledge transfer drops, the system signals it has paid too much for safety optics and too little for instruction speed.</w:t>
        <w:br/>
        <w:br/>
        <w:t>The test mirrors earlier domains: if dwell time and brand-safety metrics improve while novice reach and replication visibility stagnate, appearance has crowded out capacity. Reverse those measures and option-space grows: fewer duplicated failures, faster onboarding, tighter error bars at the edge. Page 8 turns from cases to the ledger of extraction points—where scarcity is priced and who captures it when appearance dominates capacity.</w:t>
        <w:br/>
      </w:r>
    </w:p>
    <w:p/>
    <w:p>
      <w:pPr>
        <w:jc w:val="left"/>
      </w:pPr>
      <w:r>
        <w:rPr>
          <w:b/>
        </w:rPr>
        <w:t>Page 8 – Extraction Points</w:t>
      </w:r>
    </w:p>
    <w:p>
      <w:r>
        <w:t>Scarcity becomes a business model when appearance outruns capacity. The choke is real; the pricing sits where calendars are controllable. Four recurring extraction patterns:</w:t>
        <w:br/>
        <w:br/>
        <w:t>Queue-rents (energy &amp; infrastructure).</w:t>
        <w:br/>
        <w:t>Where interconnection or permit queues stretch, priority becomes salable even if informally. Scarce inputs—protection engineers, commissioning windows, transformer deliveries—acquire option value. Who pays: developers and ratepayers, via delay premia embedded in PPAs and contingency inventory. Time lost: months per re-study, quarters per missed outage window. Signal to watch: commissioning lead-time distribution—when its tail fattens while “applications processed” rises, rents are forming.</w:t>
        <w:br/>
        <w:br/>
        <w:t>Certification monopoly (health, industrial).</w:t>
        <w:br/>
        <w:t>When a single body controls acceptance of substitutes (devices, reagents, components), review cadence sets market power. Who pays: hospitals and manufacturers absorbing calendar rents while paperwork catches up to reality. Time lost: weeks to re-qualify near-identical kits; months when validation protocols lack fast tracks. Signal: divergence between device uptime and “procurement executed,” plus repeated legal holds that freeze scheduling post-incident.</w:t>
        <w:br/>
        <w:br/>
        <w:t>IP and tooling choke (semiconductors, software).</w:t>
        <w:br/>
        <w:t>Concentrated rights over essential steps (EUV, specialty resists, closed toolchains) let owners meter throughput without altering price lists dramatically. Who pays: downstream firms that redesign products around what can actually be fabbed or built. Time lost: full product cycles when node access slips; multi-quarter slips when SDK or API changes throttle third-party capability. Signal: rising share of “roadmap adjustments” attributed to “vendor availability” rather than demand.</w:t>
        <w:br/>
        <w:br/>
        <w:t>Compliance markets (cross-sector).</w:t>
        <w:br/>
        <w:t>When compliance artifacts are rewarded without connection to rework reduction, intermediaries—auditors, consultants, software vendors—capture spend while the bind remains. Who pays: agencies and firms that shift expert hours into reporting rather than sequencing work. Time lost: persistent; days per report, months of accumulated drift. Signal: compliance hours ↑ while first-pass yield and MTTR/MTBF are flat.</w:t>
        <w:br/>
        <w:br/>
        <w:t>Rents do not require malice; they require a slow variable and someone who can sell relief from it. The cure is not to moralize scarcity but to change what is paid for. When dashboards and contracts price finish-rate, energized capacity delta, device uptime, and time-to-competence, calendar control stops being a toll and becomes an execution advantage. The next page turns the argument into tests: simple falsifiers that tell a reader, in any domain, whether they are looking at appearance or capacity—and whether the logic of betrayal is in force.</w:t>
        <w:br/>
      </w:r>
    </w:p>
    <w:p/>
    <w:p>
      <w:pPr>
        <w:jc w:val="left"/>
      </w:pPr>
      <w:r>
        <w:rPr>
          <w:b/>
        </w:rPr>
        <w:t>Page 9 – Tests &amp; Falsification</w:t>
      </w:r>
    </w:p>
    <w:p>
      <w:r>
        <w:t>A mechanism is real when it predicts what will and will not move. Five tests separate appearance from capacity across domains:</w:t>
        <w:br/>
        <w:br/>
        <w:t>1) Announced vs. energized gap.</w:t>
        <w:br/>
        <w:t>If press-visible indicators rise (programs launched, PPAs signed, pilots extended) while finish-rate and energized capacity delta stay flat, the surface is tilted toward appearance. Corollary: lead-time distributions fatten at the tail even as “applications processed” increases.</w:t>
        <w:br/>
        <w:br/>
        <w:t>2) Starts without finishes.</w:t>
        <w:br/>
        <w:t>If starts trend up while the share reaching commissioning on the planned calendar does not, throughput is unchanged in practice. Evidence usually appears as stable or worsening COD slippage, more re-studies, and a growing backlog of “nearly done” work.</w:t>
        <w:br/>
        <w:br/>
        <w:t>3) Compliance hours without rework reduction.</w:t>
        <w:br/>
        <w:t>If time spent on audits, artifacts, and reviews rises but first-pass yield, MTBF/MTTR, or defect escape rates do not improve, compliance is functioning as an alibi rather than a safeguard.</w:t>
        <w:br/>
        <w:br/>
        <w:t>4) KPI bundles that miss the primitives.</w:t>
        <w:br/>
        <w:t>If dashboards feature spend, sentiment, and volume (dollars, impressions, filings) and omit the primitives—finish-rate, energized delta, reliability, time-to-competence—behavior will drift toward fast, photogenic wins. Where the primitives are added, a visible reallocation of attention follows.</w:t>
        <w:br/>
        <w:br/>
        <w:t>5) Pilots that age without a gate.</w:t>
        <w:br/>
        <w:t>If a “pilot” grows older than ~12–18 months without a predeclared go/no-go linked to delivered units, the pilot is operating as a reputational hedge. Budgets cycle; capacity does not change.</w:t>
        <w:br/>
        <w:br/>
        <w:t>Negative cases matter. Where interconnection reforms in 2023–24 introduced milestone discipline and readiness screens, queue attrition increased but commissioning rates for surviving projects improved—appearance fell, capacity rose. Where hospital dashboards elevated staffed-room hours, first-pass yield, and device uptime, backlogs declined despite flat budgets—again, appearance metrics went quiet while capacity metrics moved.</w:t>
        <w:br/>
        <w:br/>
        <w:t>These tests are portable. Applied to energy, they expose whether press cycles mask commissioning drift; applied to healthcare, whether budget execution hides specialty bottlenecks; applied to platforms, whether dwell and brand-safety scores hide longer time-to-competence. A chapter that cannot pass them is describing a mood, not a mechanism.</w:t>
        <w:br/>
        <w:br/>
        <w:t>The handoff is clear: with tests in hand, readers can watch the logic of betrayal operate in real time. What remains is a taxonomy of the frames that make it feel reasonable—alibis of decline—and a preview of how to unwind them without discarding the virtues they claim to protect. Page 10 closes this chapter and opens Chapter 3.</w:t>
        <w:br/>
      </w:r>
    </w:p>
    <w:p/>
    <w:p>
      <w:pPr>
        <w:jc w:val="left"/>
      </w:pPr>
      <w:r>
        <w:rPr>
          <w:b/>
        </w:rPr>
        <w:t>Page 10 – Handoff to Alibis</w:t>
      </w:r>
    </w:p>
    <w:p>
      <w:r>
        <w:t>We have treated the logic of betrayal as a map of incentives: a surface that pays for signals misread as solutions and underpays the slow work that widens a society’s option-space. Across energy, health, platforms, and training, the pattern held: metrics that move quickly—spend, filings, dwell, pilots—won attention, while the primitives—finish-rate, energized capacity delta, MTBF/MTTR, time-to-competence—moved, if at all, on calendars money could not compress. Where bundles were corrected, capacity rose and appearance went quiet. Where they were not, extraction points formed and calendar rents compounded.</w:t>
        <w:br/>
        <w:br/>
        <w:t>What makes this surface durable is not ignorance but alibi structure—frames that convert delay into virtue and substitution into prudence. “Stakeholder engagement,” “pilot,” “risk review,” “legal hold,” “comms cadence”: each names a real good, then slides a measurable trade behind the word. The substitution repeats: sessions for permits, artifacts for error reduction, press cadence for finish-rate. Alibis spread because they are safer to defend than throughput is to deliver; they are rhetorically universal and operationally specific, meaning they travel well between domains while hiding the exact metric they displace.</w:t>
        <w:br/>
        <w:br/>
        <w:t>The taxonomy that follows in Chapter 3 — Alibis of Decline is therefore functional, not moral. It classifies alibis by the measurement choice they replace and the error budget they quietly spend. Each entry pairs a virtue to preserve with a metric to restore, so that the same organizations—without changing their public commitments—are pulled toward capacity rather than its simulacra. Readers should expect a translation table: for every familiar phrase, the missing primitive; for every compliance win, the corresponding finish-rate or time-to-competence that must move before option-space actually expands.</w:t>
        <w:br/>
        <w:br/>
        <w:t>The handrail remains the same: appearance vs capacity. By making that pair explicit at every boundary—policy to project, plan to schedule, schedule to commissioning—the next chapter shows how to dissolve alibis without discarding the goods they claim to protect, clearing the lane for the corrections that later chapters will require.</w:t>
        <w:b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