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 — Alibis of Decline (Rewrite)</w:t>
      </w:r>
    </w:p>
    <w:p>
      <w:pPr>
        <w:pStyle w:val="Heading1"/>
      </w:pPr>
      <w:r>
        <w:t>Page 1 – Decline as Virtue</w:t>
      </w:r>
    </w:p>
    <w:p>
      <w:r>
        <w:t>The first alibi makes retreat sound principled. Under its language, the curtailment of capacity is presented as moral improvement, and policies that shrink a people’s room to live and build are praised as the only responsible path. The label varies—“post-growth,” “degrowth,” “deconsumption,” “managed downsizing”—but the operating move is the same: recode less as good.</w:t>
      </w:r>
    </w:p>
    <w:p>
      <w:r>
        <w:t>In public programs, this posture graduates from rhetoric to design. Municipal and national platforms adopt “post-growth” objectives that subordinate employment, energy throughput, and industrial renewal to consumption-reduction targets. Budgets and procurement rules are then aligned to prefer demand-suppression over supply expansion: transport policy privileges congestion pricing and access limits while deferring heavy-lift build; housing frameworks tighten footprint and parking minima while treating new serviced land as vice; energy strategies treat high-duty-cycle generation as socially costly even when lifecycle math favors it. The public is told that restraint itself is the deliverable.</w:t>
      </w:r>
    </w:p>
    <w:p>
      <w:r>
        <w:t>Family formation absorbs the same ethic through incentives rather than pamphlets. Tax and benefit schedules create cliffs that penalize marriage relative to cohabitation and reduce the net gain from an additional child; childcare, housing, and education costs rise faster than wages in regions where capacity expansions stall; student-debt and credentialing norms push first births later, compressing fertile years. None of these are argued as anti-natal policy; taken together they work as one. A smaller next generation becomes an index of virtue, not a warning light.</w:t>
      </w:r>
    </w:p>
    <w:p>
      <w:r>
        <w:t>Public services internalize the posture as an ethic of austerity. Bed caps and staff-to-patient ratios are held down as “efficiency”; library hours, transit headways, and permitting desks are cut back as “doing more with less”; maintenance deferrals are booked as savings. The effect on continuity is predictable: fewer apprenticeships and service roles for the young, longer queues for the old, and a daily lesson that scarcity is not a problem to solve but a character to acquire.</w:t>
      </w:r>
    </w:p>
    <w:p>
      <w:r>
        <w:t>What makes “decline as virtue” potent is that it is enforceable without slogans: it lives in eligibility criteria, scoring rubrics, and financing screens that reward contraction and penalize expansion. By the time the numbers show fewer births, fewer masters at the bench, and fewer megawatts that run when called, the doctrine has already done its work. Stated once in the tribunal’s register: policies that moralize less as good will be judged by what they remove from the chain of continuity they claim to preserve.</w:t>
      </w:r>
    </w:p>
    <w:p>
      <w:pPr>
        <w:pStyle w:val="Heading1"/>
      </w:pPr>
      <w:r>
        <w:t>Page 2 – Scarcity as Sacred</w:t>
      </w:r>
    </w:p>
    <w:p>
      <w:r>
        <w:t>The second alibi treats scarcity not as a problem to be solved but as a moral condition to be maintained. Policy is written so that restraint itself is the deliverable, and citizens are told to measure virtue by how little they can be made to use.</w:t>
      </w:r>
    </w:p>
    <w:p>
      <w:r>
        <w:t>In energy, scarcity is canonized through finance and permitting rather than slogans. Green-taxonomy rules and ESG screens classify high-duty-cycle nuclear as ineligible or disfavored for “sustainable” finance; risk-weighting and disclosure templates then steer capital away from baseload fleets even where lifecycle emissions and land-use math favor them. Environmental review timelines and litigation pathways stretch projects beyond commercial horizons, converting viable plants into stranded proposals. Grids adjust by importing volatility and price spikes; households and workshops pay the stability premium that cheaper, constant power would have prevented.</w:t>
      </w:r>
    </w:p>
    <w:p>
      <w:r>
        <w:t>In transport, scarcity is ritualized as behavior change. Fuel excise schedules, congestion pricing, curb access regimes, and low-emission zones are stacked to suppress trips rather than expand capacity. Revenue is booked; lane-mile or rolling-stock additions are deferred; service frequency and network redundancy shrink in real terms. The distributional impact is precise: those least able to arbitrage time or location absorb higher costs and longer commutes, while the policy is defended as essential discipline.</w:t>
      </w:r>
    </w:p>
    <w:p>
      <w:r>
        <w:t>In agriculture, scarcity becomes compliance. Nitrogen and livestock caps, pesticide bans without timeline-matched alternatives, and set-aside mandates are introduced as ecological necessity. Credit and insurance are conditioned on adherence; small and mid-size producers exit when compliance costs exceed margins; import dependency rises to mask the contraction. The food still arrives, but the capability to grow it has moved, and with it the skills and families that carried the land.</w:t>
      </w:r>
    </w:p>
    <w:p>
      <w:r>
        <w:t>Across domains, the same structure appears. First, declare a planetary or public-order good; second, engineer the financing and permitting so expansion is noncompliant; third, praise the resulting contraction as proof of virtue. The measured effects are not hard to find: higher unit prices for energy and mobility, reduced domestic production in sectors that anchor apprenticeships, and fewer young households confident enough to form and grow.</w:t>
      </w:r>
    </w:p>
    <w:p>
      <w:r>
        <w:t>This chapter records scarcity’s promotion from constraint to creed so it can be reversed in practice. Stated once in the tribunal’s register: a politics that treats smallness as sanctity will be judged by what it removes from the chain of continuity it was charged to protect.</w:t>
      </w:r>
    </w:p>
    <w:p>
      <w:pPr>
        <w:pStyle w:val="Heading1"/>
      </w:pPr>
      <w:r>
        <w:t>Page 3 – Fragility as Design</w:t>
      </w:r>
    </w:p>
    <w:p>
      <w:r>
        <w:t>Brittleness was not an accident; it was procured. The systems that failed most predictably were managed to minimize visible carrying cost and maximize paperwork compliance, even when that meant removing the slack that makes recovery possible.</w:t>
      </w:r>
    </w:p>
    <w:p>
      <w:r>
        <w:t>Power grids. Reserve margins were allowed to compress toward regulatory minima; interconnection queues for firm generation stretched years while intermittent capacity cleared faster under preferential scoring and tax treatment. Transmission upgrades lagged; N-1 contingency standards became the ceiling rather than the floor. Market rules paid energy, not capacity, in ways that undercompensated units that keep frequency and inertia. The measured effects were routine: scarcity pricing spikes in ordinary weather, reliability events triggered by common-mode conditions, and industrial customers absorbing curtailments. A grid configured to chase apparent low cost became a machine that externalized risk onto households and shops.</w:t>
      </w:r>
    </w:p>
    <w:p>
      <w:r>
        <w:t>Healthcare capacity. Bed-per-capita ratios drifted down under “right-sizing” initiatives; stockpile rotations for PPE and critical medications were cut as just-in-time logistics became policy; surge staffing depended on travel contracts rather than maintained rosters. Certificate-of-need regimes and reimbursement formulas penalized standing capacity as inefficiency. When stress arrived, ICUs overflowed, elective procedures halted, and time-to-supply for basic kit stretched from days to months. The savings were booked in calm years; the losses were paid in crisis by patients, staff, and deferred care outcomes.</w:t>
      </w:r>
    </w:p>
    <w:p>
      <w:r>
        <w:t>Semiconductors and critical supply. Tooling and advanced-node production concentrated in a few geographies; domestic capability migrated up the stack to design while wafer starts and packaging consolidated abroad. Procurement favored lowest bid and vendor consolidation; second-source requirements were waived; emergency orders assumed elastic capacity. When a shock hit, cycle times and backlogs lengthened through the entire pyramid—automotive, medical devices, defense—because the buffers had been removed. Lead times of weeks became quarters; product deletions replaced substitutions; apprenticeship in high-mix fabrication thinned where it had been strongest.</w:t>
      </w:r>
    </w:p>
    <w:p>
      <w:r>
        <w:t>Across sectors, the throughline is the same: policies and payment structures treat redundancy, local mastery, and time-on-hand as waste. Metrics that score “efficiency” in placid periods ensure failure under load. The public is then told that the breakdown was unforeseeable. It wasn’t. It was specified—in rate cases, reimbursement tables, procurement clauses, and investment taxonomies.</w:t>
      </w:r>
    </w:p>
    <w:p>
      <w:r>
        <w:t>Stated once in the tribunal’s register: where planners purchase low visible cost by selling the margin that keeps a people safe, the resulting fragility is not misfortune but an authored risk, and it will be judged as such.</w:t>
      </w:r>
    </w:p>
    <w:p>
      <w:pPr>
        <w:pStyle w:val="Heading1"/>
      </w:pPr>
      <w:r>
        <w:t>Page 4 – Efficiency as Fetish</w:t>
      </w:r>
    </w:p>
    <w:p>
      <w:r>
        <w:t>Once scarcity is sacralized and fragility procured, “efficiency” arrives as the creed that justifies both. Numbers are chosen to prove virtue in quiet years while concealing the cost in hard ones. The pattern is consistent: targets that reward throughput and budget compliance while punishing slack, redundancy, and mastery.</w:t>
      </w:r>
    </w:p>
    <w:p>
      <w:r>
        <w:t>Hospitals. Length-of-stay (LOS) and bed-occupancy targets were tightened to raise utilization; certificate-of-need regimes and reimbursement tables penalized idle capacity; surge beds and staff pools were reclassified as waste. Stockpile rotations were reduced or outsourced under just-in-time assumptions. Everything that did not invoice daily—empty beds, standing inventories, cross-trained rosters—scored as inefficiency. The capability that vanished was the margin required under load: ICU beds per thousand fell, time-to-kit extended, and elective suspensions became the default stress response. What the metric called savings, the ward experienced as brittleness.</w:t>
      </w:r>
    </w:p>
    <w:p>
      <w:r>
        <w:t>Logistics and manufacturing. Procurement consolidated vendors to extract price; EOQ models trimmed safety stock; on-time-in-full (OTIF) penalties locked carriers into schedules optimized for steady state. Contracts embedded buffer taxes—storage, demurrage, inventory carrying—without symmetric rewards for resilience. Tier-two and tier-three suppliers disappeared in favor of single-source “efficiencies”; toolrooms and maintenance departments were hollowed by outsourcing. When common-mode shocks hit, recovery times stretched from days to quarters because no one was paid to hold slack or teach redundancy. The cheapest unit price became the most expensive system.</w:t>
      </w:r>
    </w:p>
    <w:p>
      <w:r>
        <w:t>Public sector services. Vacancy controls, hiring freezes, and output KPIs turned capacity into a spreadsheet exercise: case closures per officer, forms per clerk, minutes per inspection. The metric rewarded clearing today’s pile, not maintaining the bench for tomorrow’s load. Apprenticeships and mentorships were reclassified as “shadowing” and trimmed; experienced staff retired without successors; agencies substituted outsourcing and temporary contracts for institutional competence. Citizens saw the result in longer queues, slower permits, and fewer masters of the craft inside their own government.</w:t>
      </w:r>
    </w:p>
    <w:p>
      <w:r>
        <w:t>In each domain, the fetish is not speed or thrift; it is the appearance of both. By optimizing for full utilization and minimum inventory, managers purchase flattering ratios by selling the very qualities—redundancy, slack, local mastery—that keep systems from failing. The figures improve until they don’t; then the bill arrives as outages, backlogs, and abandonments that no KPI was designed to admit. Stated once in the tribunal’s register: an “efficiency” that destroys the reserve without which continuity cannot be kept is misnamed and will be judged by the capacity it erased.</w:t>
      </w:r>
    </w:p>
    <w:p>
      <w:pPr>
        <w:pStyle w:val="Heading1"/>
      </w:pPr>
      <w:r>
        <w:t>Page 5 – False Progress</w:t>
      </w:r>
    </w:p>
    <w:p>
      <w:r>
        <w:t>The third alibi declares rupture to be improvement. Under its terms, a community proves it is modern by abandoning forms that worked, then calls the abandonment progress. The technique is administrative: alter rubrics and thresholds so the numbers show advance while the substance recedes.</w:t>
      </w:r>
    </w:p>
    <w:p>
      <w:r>
        <w:t>School standards. Cut scores are lowered and “proficiency” is redefined; social promotion replaces mastery checks; grading moves from earned marks to “standards-based” descriptors that make failure illegible. Placement policies decouple course sequences from demonstrated competence; teacher evaluation rubrics prioritize process compliance over subject depth. On paper, gaps close and graduation rises; in practice, first-year remediation at colleges expands, apprenticeship programs report weaker entrants, and employers internalize that transcripts are not signals. A polity that cannot certify literacy and numeracy at scale has declared progress while dissolving the ladder it claims to extend.</w:t>
      </w:r>
    </w:p>
    <w:p>
      <w:r>
        <w:t>Codes and durability. Building and product codes introduce “innovation” carveouts that shorten service life in exchange for marginal efficiency or novelty—thin assemblies with limited repairability, proprietary components with long lead times, adhesives where mechanical fasteners once allowed disassembly and reuse. Procurement emphasizes upfront price and rated performance, not lifecycle cost or maintainability; warranty horizons shadow the expected failure window. The failure mode is predictable: higher replacement cadence, waste streams that outpace recycling capacity, and trades that shift from repair to swap-outs. Progress is booked as a greener sticker and a sleeker brief; the lost asset is craft and longevity.</w:t>
      </w:r>
    </w:p>
    <w:p>
      <w:r>
        <w:t>Memory policy. Heritage bodies revise criteria; councils adopt harm- and inclusion-tests that convert commemorations into liabilities; delisting processes are streamlined under redevelopment or safety rationales. Names change first, then plaques, then the stones. In each case the pathway is procedural—commission the review, redefine offense, remove protection, tender the site. The skyline and street map still exist; the civic story that made them legible does not. Communities trying to teach their children who they are find fewer common references and more explanatory signage that says less each year.</w:t>
      </w:r>
    </w:p>
    <w:p>
      <w:r>
        <w:t>Across domains, “false progress” operates by changing the yardsticks. When measurement is retooled to flatter outputs, institutions can present advance while delivering loss—of skill, of durability, of shared memory. The costs land where continuity lives: households, workshops, and schools. Stated once in the tribunal’s register: a reform that improves the numbers by erasing the standard will be judged by what it took from the living chain it claims to serve.</w:t>
      </w:r>
    </w:p>
    <w:p>
      <w:pPr>
        <w:pStyle w:val="Heading1"/>
      </w:pPr>
      <w:r>
        <w:t>Page 6 – Collapse as Operating System</w:t>
      </w:r>
    </w:p>
    <w:p>
      <w:r>
        <w:t>Failure became the default not through catastrophe but through paperwork. Authorities learned to govern with standing exceptions, and institutions learned to grade themselves on a curve they wrote. The public lived inside a continuous “temporary” that never ended.</w:t>
      </w:r>
    </w:p>
    <w:p>
      <w:r>
        <w:t>Rolling emergency powers. Executives invoked emergency provisions for specific shocks, then renewed them on schedule until the exception replaced the rule. Sunset clauses slid forward; delegated authorities—procurement shortcuts, surveillance scopes, assembly restrictions—became routine tools. Legislative oversight narrowed to after-the-fact briefings; courts deferred under doctrines of urgency and technical complexity. The operating result was a government that could bypass ordinary consent to manage ordinary life.</w:t>
      </w:r>
    </w:p>
    <w:p>
      <w:r>
        <w:t>Evergreen reauthorizations. Programs created as stopgaps were reauthorized with minor edits and new acronyms. Pilot schemes became permanent without fresh legislative tests; guidance documents accumulated into soft law. Agencies issued interim final rules with immediate effect, inviting comments no one had time to answer. Once embedded in forms—eligibility criteria, grant conditions, compliance calendars—the “temporary” regime cost more to unwind than to tolerate.</w:t>
      </w:r>
    </w:p>
    <w:p>
      <w:r>
        <w:t>Baselining failure. Metrics were rebased to show improvement against lowered standards. Inspection cycles were lengthened; response-time targets were “seasonally adjusted”; learning benchmarks were redefined; infrastructure service levels were recoded from “meet” to “monitor.” Deferred maintenance was booked as savings; impairment charges arrived years later as one-time “unexpected” hits. Public dashboards glowed green; citizens counted outages, backlogs, and detours.</w:t>
      </w:r>
    </w:p>
    <w:p>
      <w:r>
        <w:t>Budget and accounting shifts. Funds were moved off-budget into authorities and special districts; debt was layered in instruments that avoided headline totals; pension liabilities were smoothed with optimistic return assumptions. Capital replacements slipped; patching replaced rebuilding; concession contracts monetized future revenue in exchange for present relief. The city still issued bonds; the streetlights dimmed sooner each winter.</w:t>
      </w:r>
    </w:p>
    <w:p>
      <w:r>
        <w:t>Compliance in place of correction. When systems underperformed, new compliance layers arrived: trainings, audits, certifications. Vendors and departments passed the class and failed the task. Time and money went to proving adherence while the broken thing remained broken. People adapted with private workarounds—generators, water deliveries, homeschool co-ops, cash businesses—because the public baseline no longer rose to meet them.</w:t>
      </w:r>
    </w:p>
    <w:p>
      <w:r>
        <w:t>This is what collapse as an operating system looks like: not rubble, but normalized exception; not sirens, but forms. The cost lands exactly where continuity lives—households, workshops, language in law, skills on the bench, and the security of street and border. Stated once in the tribunal’s register: a regime that makes emergency permanent and performance optional will be judged by the losses it conceals as management.</w:t>
      </w:r>
    </w:p>
    <w:p>
      <w:pPr>
        <w:pStyle w:val="Heading1"/>
      </w:pPr>
      <w:r>
        <w:t>Page 7 – Natural Law Lens: Betrayal of Order (Revised)</w:t>
      </w:r>
    </w:p>
    <w:p>
      <w:r>
        <w:t>Natural law judges authority by whether it keeps a people intact through time. The test is not metaphysical; it is operational. Five links must be tended together or the chain fails: the bearing and raising of children inside durable households; the transmission of language into law, school, and public ritual; the stewardship of land and waters so fertility outlives budgets; the hand-to-hand transfer of skill so tools and trades do not end with a cohort; and the security that protects a border and a street so obligations can be enforced.</w:t>
      </w:r>
    </w:p>
    <w:p>
      <w:r>
        <w:t>Measured against that standard, the prior alibis register as breaches, not ideals. When decline is moralized, households shrink in predictable ways: total fertility drops below replacement while median age at first birth climbs alongside housing and childcare cost indices; marriage formation stalls where tax/benefit cliffs penalize the tie. The claim is virtue; the effect is fewer heirs and thinner kin networks.</w:t>
      </w:r>
    </w:p>
    <w:p>
      <w:r>
        <w:t>When scarcity is sacralized, language and land absorb the cost. Energy and transport policies that discipline use rather than expand capacity push schooling and civil life toward administrative bilingualism in jargon while crowding out the civic tongue; rural exit accelerates as small producers face quota and compliance hurdles that favor scale over husbandry. Soil organic matter and water tables trend down when short-horizon ownership and compliance agriculture replace place-knowledge.</w:t>
      </w:r>
    </w:p>
    <w:p>
      <w:r>
        <w:t>Fragility sold as efficiency severs skill. Procurement and KPI regimes that punish slack and redundancy close toolrooms, thin apprenticeships, and convert masters into supervisors of outsourced contracts. The journeyman-to-apprentice ratio falls; median time-to-competency lengthens; the region becomes a consumer of systems it can no longer repair. What looks lean on a dashboard reads as ignorance at the bench.</w:t>
      </w:r>
    </w:p>
    <w:p>
      <w:r>
        <w:t>False progress, paired with collapse as operating system, degrades security in both senses: civic order and reliability of basic services. Standards and yardsticks are rebased so that graduation and clearance metrics glow while remediation loads and response-time tails grow longer. Clearance-to-conviction pipelines soften where damage is large and harden where dissent is small. Emergency powers roll forward until the exception governs the ordinary day.</w:t>
      </w:r>
    </w:p>
    <w:p>
      <w:r>
        <w:t>Under the natural-law lens, these are not separate disappointments but one betrayal of order carried out through policy. Stated once in the tribunal’s register and then returned to prose: authority remains legitimate only where those five links strengthen together, with no “improvement” purchased by breaking the rest. Page 8 sets the thresholds and the remedies by which that claim will be enforced.</w:t>
      </w:r>
    </w:p>
    <w:p>
      <w:pPr>
        <w:pStyle w:val="Heading1"/>
      </w:pPr>
      <w:r>
        <w:t>Page 8 – Natural Law Frame: Continuity Betrayed</w:t>
      </w:r>
    </w:p>
    <w:p>
      <w:r>
        <w:t>A standard that cannot be measured cannot be enforced. The natural-law frame therefore sets thresholds for the five links and treats them as non-substitutable: no gain in one may be purchased by degrading another.</w:t>
      </w:r>
    </w:p>
    <w:p>
      <w:r>
        <w:t>Children. Threshold: a total fertility rate at or above replacement and rising marriage/household formation among citizens in their prime childbearing years. Measures: TFR; median age at first birth; marriage rate adjusted for tax/benefit cliffs; childcare/housing cost indices. Remedies: remove marriage penalties; expand serviced land and family housing; align education/work pipelines so first births do not collide with credential dead-ends; convert child allowances into per-child supports that scale with earned income rather than displace it.</w:t>
      </w:r>
    </w:p>
    <w:p>
      <w:r>
        <w:t>Language. Threshold: the civic language holds its place in law, school hours, and public ritual—no dilution by administrative jargon that erases duty nouns. Measures: % of instruction hours in civic language; presence of duty terms in statutes and style guides; court/agency usage audits. Remedies: statutory protection of civic terms in law and forms; curriculum floors for civic language; public-service exams in the civic tongue.</w:t>
      </w:r>
    </w:p>
    <w:p>
      <w:r>
        <w:t>Land. Threshold: soil organic matter and freshwater tables trend up over rolling five-year windows; local seedlines and working waterfronts persist. Measures: OM%; nitrate loads; irrigated-acre efficiency; % of arable land held by long-horizon owners; fishery stock health. Remedies: tenure instruments that reward long stewardship; rotational and hedgerow supports; water infrastructure that closes loss; seed/stock sovereignty protections.</w:t>
      </w:r>
    </w:p>
    <w:p>
      <w:r>
        <w:t>Skill. Threshold: the region can make, maintain, and mend the systems it uses. Measures: journeyman:apprentice ratios; median time-to-competency by trade; % of critical spares/tooling made domestically; uptime without external specialists. Remedies: apprenticeships tied to procurement; local-content floors in strategic sectors; public toolrooms and repair rights that keep mastery in place.</w:t>
      </w:r>
    </w:p>
    <w:p>
      <w:r>
        <w:t>Security. Threshold: predictable enforcement that protects border and street; clearance→conviction proportionality for serious harm; emergency powers that expire. Measures: clearance and conviction rates; response-time tails; recidivism; duration and scope of emergency orders; lawful removal/screening throughput. Remedies: sunset and supermajority re-authorization for emergencies; witness protection where violence concentrates; hard walls between intelligence and routine civil process; border processes that are firm, fast, and reviewable.</w:t>
      </w:r>
    </w:p>
    <w:p>
      <w:r>
        <w:t>Enforcement is administrative, not theatrical: publish the five dashboards; bind public money and promotion to improvements without trade-offs that break another link; audit by independent offices with power to claw back funds. Stated once in the tribunal’s register: authority that will not cross these thresholds has broken continuity and stands under judgment.</w:t>
      </w:r>
    </w:p>
    <w:p>
      <w:pPr>
        <w:pStyle w:val="Heading1"/>
      </w:pPr>
      <w:r>
        <w:t>Page 9 – Archeo-Futurist Contrast</w:t>
      </w:r>
    </w:p>
    <w:p>
      <w:r>
        <w:t>Archeo-futurism is not a mood; it is a build plan that refuses the trade between inheritance and invention. It keeps the forms that carry a people forward—household, tongue, land, craft—while it installs the machinery that ends rationing. The test is whether abundance grows without dissolving the five links of continuity.</w:t>
      </w:r>
    </w:p>
    <w:p>
      <w:r>
        <w:t>On Earth, the spine is firm power and heavy industry returned to places where life is lived. Rate design and licensing must reward high-duty-cycle generation rather than penalize it: capacity payments for units that hold frequency and inertia; approvals that timeline plants to commercial reality; waste and fuel policies that close cycles instead of exporting risk. Procurement anchors capability by tying public money to local-content floors and apprenticeship covenants: a reactor, refinery, shipyard, or foundry that draws on the treasury trains and certifies the next bench. Toolrooms are treated as infrastructure. The point is not nostalgia for old kit; it is the recognition that mastery compounds only where work is done and taught in place.</w:t>
      </w:r>
    </w:p>
    <w:p>
      <w:r>
        <w:t>Beyond Earth, the architecture is industrial, not theatrical: stations, yards, and power moved off-planet to free the home grid from scarcity arithmetic. Orbital power purchase agreements create a market before perfection; tug and depot standards are published to let many yards build to spec; liability and salvage rules are written so failure teaches without freezing the field. The aim is capacity that scales—habitats, fabrication, and energy—that does not require a single capital to command it.</w:t>
      </w:r>
    </w:p>
    <w:p>
      <w:r>
        <w:t>Governance follows the same refusal of false choices. Confederation is organized by jurisdictional walls and covenant tests: borders that answer to voters close enough to dismiss their governors; mutual non-domination charters that forbid central fiscal or regulatory capture; interoperability standards that let peers trade and defend together without surrendering law. Sunsets are enforced as gates, not suggestions; authorities that cannot renew with supermajorities expire. Where coordination is needed—defense, rail and grid interties, orbital traffic—standards are adopted without handing policy to bodies immune from recall.</w:t>
      </w:r>
    </w:p>
    <w:p>
      <w:r>
        <w:t>The contrast with the alibis of decline is procedural, not poetic. Scarcity is displaced by engineering and procurement that pay for reliability; fragility and “efficiency” cults are replaced by capacity that includes slack on purpose; “progress” is measured by durability and mastery, not by rebranding yardsticks; “justice” returns to proportion because scale no longer buys indemnity. Stated once in the tribunal’s register: a future worthy of inheritance is built by forms that hold and machines that run.</w:t>
      </w:r>
    </w:p>
    <w:p>
      <w:pPr>
        <w:pStyle w:val="Heading1"/>
      </w:pPr>
      <w:r>
        <w:t>Page 10 – From Decline to Reckoning</w:t>
      </w:r>
    </w:p>
    <w:p>
      <w:r>
        <w:t>The alibis are now on the record. “Decline as virtue,” “scarcity as sacred,” “fragility as design,” “efficiency as fetish,” “false progress,” and “collapse as operating system” are not moods but operating choices that damaged the five links of continuity. The reckoning is procedural.</w:t>
      </w:r>
    </w:p>
    <w:p>
      <w:r>
        <w:t>Criteria. Four questions settle whether actors are culpable. (1) Intention: did they adopt frameworks that predictably transferred authority away from accountable jurisdictions to venues insulated from recall? (2) Competence: did they know or have reason to know, because precedents, audits, or staff memoranda made outcomes likely? (3) Effect: did the policy degrade continuity—in children, language, land, skill, or security—beyond ordinary volatility? (4) Gain: did the implementing circles concentrate advantage or indemnity while households and towns bore cost?</w:t>
      </w:r>
    </w:p>
    <w:p>
      <w:r>
        <w:t>Burden of proof. It rests with policy-changers, not the public. When a change overturns anchored practice (family law, baseload energy, borders, apprenticeship ladders, proportional justice), its sponsors must demonstrate preservation or improvement of continuity by outcomes, not by redefinition.</w:t>
      </w:r>
    </w:p>
    <w:p>
      <w:r>
        <w:t>Admissible evidence. Statutes and treaty clauses; executive findings and guidance; budget, procurement, and licensing records; dispute-settlement dockets; timeline slippages for programs; dashboards and series that register life as lived—births, marriage formation, language in law and school, soil and water measures, journeyman ratios, clearance→conviction pipelines, response tails. Expert opinion may assist; institutional behavior over time decides. Where books and streets disagree, the street is presumed truthful until reconciled.</w:t>
      </w:r>
    </w:p>
    <w:p>
      <w:r>
        <w:t>Remedy. Where betrayal is shown—intended or reckless—correction follows in proportion: repeal and clawback; disqualification from offices, boards, and concessions; restitution where pricing the harm does not compound it; structural reforms that can be audited. Where error without betrayal is shown, reform is specified and measured against the same five links.</w:t>
      </w:r>
    </w:p>
    <w:p>
      <w:r>
        <w:t>Safeguards. To keep alibis from reinstalling themselves: hard sunsets and supermajority renewals for emergency powers; jurisdictional walls and covenant tests that prevent central capture; procurement tied to apprenticeship and local capability; open standards that enable confederation without surrendering law; independent audit offices with clawback authority and public dashboards keyed to the five thresholds.</w:t>
      </w:r>
    </w:p>
    <w:p>
      <w:r>
        <w:t>This is the pivot from diagnosis to sentence. The book now turns to the machinery by which the alibis were installed and defended—and to the program that unwinds them without breaking the forms a people must keep. Stated once in the tribunal’s register: the reckoning begins where continuity is restored.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