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Chapter 4 — Ideological Capture &amp; Moral Inversion (Rewrite)</w:t>
      </w:r>
    </w:p>
    <w:p>
      <w:pPr>
        <w:pStyle w:val="Heading1"/>
      </w:pPr>
      <w:r>
        <w:t>Page 1 – The Great Reframing</w:t>
      </w:r>
    </w:p>
    <w:p>
      <w:r>
        <w:t>Reframing is not a debate trick; it is an administrative program that changes which words can do work inside institutions. Once the glossary is seized, duties can be renamed as harms and dissolutions as goods, and the rest of the machinery follows.</w:t>
      </w:r>
    </w:p>
    <w:p>
      <w:r>
        <w:t>The first channel is the style guide—the quiet law of newsrooms, agencies, universities, and NGOs. Glossaries retire familial and civic nouns with binding force—mother/father → “parent/guardian,” citizen → “resident,” husband/wife → “spouse/partner,” border control → “migration management.” Entries flag “stigmatizing” or “exclusionary” usage; copy desks and communications offices require conformance; procurement and grant guidance reference the same lists. Because benefits, standing, and penalties attach to the named category, renaming shifts obligations without a vote. Staff learn that using the old nouns triggers edits, trainings, or HR notes; the new nouns carry the budget.</w:t>
      </w:r>
    </w:p>
    <w:p>
      <w:r>
        <w:t>The second channel is policy templating—HR/DEI codes and complaint pipelines. Templates redefine “safety” to include speech about core civic questions; “impact over intent” becomes a standard; “hostile environment” expands to cover disagreement with institutional campaigns. A complaint flows through intake, fact-finding, and sanction matrices; managers are evaluated on “closure” rates. Insurance and accreditation bodies prefer adoption of the templates, so resistance is priced. The result is not formal censorship but risk-averse conformity: employees pre-edit themselves; meetings avoid forbidden nouns; enforcement becomes routine paperwork.</w:t>
      </w:r>
    </w:p>
    <w:p>
      <w:r>
        <w:t>The third channel is curriculum and credential control. Teacher-training standards and accreditation rubrics reframe authority and mastery as problems to be “decentered.” Required readings and assessment descriptors shift from content mastery to process compliance; placement and grading migrate from demonstration to narrative. Graduates arrive fluent in the new glossary and trained to hear traditional duty language as harm. When they take posts in media, government, and HR, the cycle closes: the reframed terms are now the official ones.</w:t>
      </w:r>
    </w:p>
    <w:p>
      <w:r>
        <w:t>Across channels, the method is consistent: publish the new words, tie them to pay and permission, train to them, and punish reversion. No statute announces the moral inversion; a thousand memos make it operational. From here the chapter moves to how the reframers entered the institutions in the first place—credentialing, grants, and hiring pipelines that made the vocabulary non-optional. Stated once in the tribunal’s register: where language is captured, authority soon follows, and we judge by the continuity it erases.</w:t>
      </w:r>
    </w:p>
    <w:p>
      <w:pPr>
        <w:pStyle w:val="Heading1"/>
      </w:pPr>
      <w:r>
        <w:t>Page 2 – Gramsci’s Long March</w:t>
      </w:r>
    </w:p>
    <w:p>
      <w:r>
        <w:t>Capture did not begin with a proclamation; it began with the corridor key. The people who wrote the new glossary took the rooms that decide who may speak inside an institution—licensing boards, grant committees, hiring panels, and the peer-review loops that certify “serious work.” Once those doors were theirs, the vocabulary followed.</w:t>
      </w:r>
    </w:p>
    <w:p>
      <w:r>
        <w:t>Credentialing choke points. Teacher colleges, law schools, journalism programs, and public-administration tracks standardized entry with coursework that recoded duty as harm and authority as suspicion. Syllabi and practicum rubrics made “critical” frames prerequisites; licensure exams mirrored the same competencies. A candidate who declined the framing did not fail an argument; they failed a requirement. The pipeline produced cohorts fluent in the new terms before they set foot in classrooms, agencies, or newsrooms.</w:t>
      </w:r>
    </w:p>
    <w:p>
      <w:r>
        <w:t>Grant and NGO compliance. Foundations and multilaterals attached language and “theory of change” conditions to money. Call-for-proposals boilerplate asked for “equity-centered” designs, “deconstruction of norms,” and “impact over intent” metrics. Reporting templates tracked adherence; renewal depended on it. Universities, districts, and city departments adapted to chase funds—hiring compliance officers and trainers who, by design, spread the glossary faster than any debate could. The grant cycle became a distribution network for doctrine.</w:t>
      </w:r>
    </w:p>
    <w:p>
      <w:r>
        <w:t>Hiring, tenure, and peer review. Job ads, scoring sheets, and promotion dossiers added required statements—on diversity, positionality, and community impact—where method and mastery once sufficed. Reviewers learned what to reward; applicants learned what to say; dissenters learned to code their views or go elsewhere. In journals and conferences, gatekeepers enforced the same standards: papers that used the official vocabulary were “rigorous”; papers that did not were “naïve” or “harmful.” Over a few cycles, intellectual variance shrank to fit the form.</w:t>
      </w:r>
    </w:p>
    <w:p>
      <w:r>
        <w:t>Accreditation leverage. Accrediting bodies folded the language into standards for programs and institutions. Site visits scored “alignment” and “climate”; corrective actions required adopting the templates. Boards complied because failure threatened degrees, funding, and insurance. With accreditation at stake, reframing ceased to be optional—administrations wrote it into policy to survive the audit.</w:t>
      </w:r>
    </w:p>
    <w:p>
      <w:r>
        <w:t>What Gramsci theorized as a “long march” through institutions was executed as procurement and paperwork: control the gateways, condition the money, align the promotions, and compel through accreditation. By the time the public noticed the change in tone, the pipeline had made it durable. Stated once in the tribunal’s register: where access is priced in doctrine, representation is pre-decided, and we judge by the continuity the filter removes. Next: the toolkit that powered the shift—critical theory’s claim of indeterminacy and how it turned law, education, and media into engines of reinterpretation.</w:t>
      </w:r>
    </w:p>
    <w:p>
      <w:pPr>
        <w:pStyle w:val="Heading1"/>
      </w:pPr>
      <w:r>
        <w:t>Page 3 – Critical Theory &amp; Frankfurt School</w:t>
      </w:r>
    </w:p>
    <w:p>
      <w:r>
        <w:t>The intellectual core of the reframing was simple and powerful: declare meaning indeterminate, then reserve authority to reinterpret. Critical theory supplied the solvent; institutions supplied the pipes. Once that combination set, categories that anchor continuity—merit, duty, sovereignty, family—could be redescribed at will without changing a statute.</w:t>
      </w:r>
    </w:p>
    <w:p>
      <w:r>
        <w:t>In law. Law schools installed critical canons alongside black-letter courses, not as context but as adjudicative posture. The move taught future clerks and counsels that texts are instruments of power and that the judge’s task is to unmask advantage. From there the operating procedure followed: briefs and opinions foreground “disparate impact” and “systemic” frameworks; standards of review stretch to accommodate equity narratives; administrative agencies cite the same scholarship to broaden rulemaking or enforcement discretion. The rule does not need to change if the lens that reads it does.</w:t>
      </w:r>
    </w:p>
    <w:p>
      <w:r>
        <w:t>In media. Communications programs trained editors and producers to treat reporting as framing rather than discovery. Style notes instructed that certain descriptions “normalize harm” and that coverage should “center impacted voices.” Headline and lede conventions shifted from who/what/when to why—pre-supplied by theory. Corrections, when they arrive, print after the narrative has done its work. The newsroom does not claim neutrality; it claims responsibility to a meta-story and uses language accordingly. The glossary established on Page 1 becomes not a preference but a professional ethic.</w:t>
      </w:r>
    </w:p>
    <w:p>
      <w:r>
        <w:t>In schooling. Teacher training adopted critical pedagogy and classroom management rubrics that cast authority as “domination” to be decentered. Assessment descriptors reduced emphasis on right answers and elevated reflective narrative about identity and power. Discipline frameworks reframed enforcement as “restorative” without the objective of deterrence; parental authority was recoded as a variable among many stakeholders. Graduates entered schools fluent in a theory that reads duty as suspect and compliance as harm, and policy followed: codes, grading, and parent engagement models changed to match.</w:t>
      </w:r>
    </w:p>
    <w:p>
      <w:r>
        <w:t>Across domains, the throughline is operational leverage: indeterminacy isn’t a seminar topic; it is a warrant to reinterpret as needed. Where meaning is made fluid, gatekeepers make the meaning that sticks—in opinions, in headlines, in classrooms—and the reframed terms travel into HR codes, grant conditions, and agency guidance without a vote. Stated once in the tribunal’s register: a theory that dissolves settled meanings hands power to those who staff the valves, and we judge by the continuity their reinterpretations erase.</w:t>
      </w:r>
    </w:p>
    <w:p>
      <w:pPr>
        <w:pStyle w:val="Heading1"/>
      </w:pPr>
      <w:r>
        <w:t>Page 4 – Expansion of Grievance Categories</w:t>
      </w:r>
    </w:p>
    <w:p>
      <w:r>
        <w:t>The reframing becomes power when categories multiply. Each new protected class, harm descriptor, or impact test extends an office’s jurisdiction and shortens the distance between disagreement and sanction. The result is not only more complaints; it is a different default for speech, association, and allocation.</w:t>
      </w:r>
    </w:p>
    <w:p>
      <w:r>
        <w:t>HR/DEI policy spread. Policy templates expand coverage from clear, statute-tracked classes to elastic traits and perceptions. Definitions pages introduce “impact over intent,” “microaggression,” and “psychological safety.” Complaint intake forms accept anonymous reports and third-party filings; thresholds for a “hostile environment” are lowered to patterns of offense without objective severity tests. Sanction matrices add progressive discipline tied to “closure” rates—managers are graded on throughput, not on the quality of adjudication. Insurance and accreditation bodies prefer adoption, so enterprises import the templates whole.</w:t>
      </w:r>
    </w:p>
    <w:p>
      <w:r>
        <w:t>Campus conduct and bias systems. Universities layer bias-incident reporting over code-of-conduct enforcement. Protected-expression carveouts exist in policy text but collide with broad “community standards,” event-approval regimes, and “harm” definitions in student-leader handbooks. Procedural posture shifts from adjudication to “restorative” processes that still impose outcomes (apologies, trainings, funding losses). The lesson learned by faculty and students is not a doctrine; it is administrative probability: the safest path is to conform language and avoid topics that trigger intake.</w:t>
      </w:r>
    </w:p>
    <w:p>
      <w:r>
        <w:t>Municipal and agency procurement. Set-aside programs begin with narrow remedies and expand through ordinance and executive guidance into identity-indexed scoring for awards, renewals, and subcontracts. Compliance calendars add reporting on workforce composition, vendor training, and “community benefit” metrics. Bid protests that challenge the criteria are framed as opposition to equity. Over time, performance and local capability rank below category fit; procurement becomes a policy lever for social aims loosely tied to the service at issue.</w:t>
      </w:r>
    </w:p>
    <w:p>
      <w:r>
        <w:t>Speech and event policy. Facilities-use and security-fee schedules incorporate “likelihood of harm” factors keyed to complaint volume rather than to credible threat. A small number of organized filers can therefore raise costs or trigger cancellation. The administrative message is consistent: speech that travels with newly protected categories is low-risk; speech that contests the taxonomy is high-risk to host.</w:t>
      </w:r>
    </w:p>
    <w:p>
      <w:r>
        <w:t>Category inflation changes burdens. The accused must prove benign intent against an “impact” already recorded; the organizer must underwrite security against objections designed to raise the price; the bidder must purchase compliance unrelated to performance. None of this requires a change in statutory rights; memos and matrices suffice. Stated once in the tribunal’s register: when categories are multiplied to manufacture jurisdiction, the system will be judged by the continuity it chills and the competence it displaces.</w:t>
      </w:r>
    </w:p>
    <w:p>
      <w:pPr>
        <w:pStyle w:val="Heading1"/>
      </w:pPr>
      <w:r>
        <w:t>Page 5 – Moral Inversion Complete</w:t>
      </w:r>
    </w:p>
    <w:p>
      <w:r>
        <w:t>At end-state, the signage and the traffic swap places. Acts that sustain order trigger sanction; acts that dissolve it earn funding and prestige; the record that should correct the distortion arrives after the damage clears.</w:t>
      </w:r>
    </w:p>
    <w:p>
      <w:r>
        <w:t>Rule enforcement punished. In schools and agencies, codes now embed discretionary clauses—“impact over intent,” “climate,” “disparate impact”—that let supervisors reframe neutral enforcement as harm. A teacher who applies grading standards or a clerk who follows eligibility rules can be cited for creating a “hostile environment” or “barriers to access.” The paperwork is ordinary: an intake, a finding, a corrective plan, a note in the file tied to renewal or promotion. The message to the floor is practical—lower standards, waive rules, avoid conflict—because procedure will punish proportionate enforcement faster than it will punish the dysfunction that results from not enforcing.</w:t>
      </w:r>
    </w:p>
    <w:p>
      <w:r>
        <w:t>Rupture rewarded. Grant and award rubrics translate transgression into merit. Selection criteria privilege “innovative disruption,” “equity-centered approaches,” and “de-centering dominant narratives” over demonstrated durability or public benefit. In the arts and academia, panels weight positional statements and “community impact” above craft or replicable method; in public programs, pilot funds go to redesigns that remove thresholds rather than to reforms that raise performance. Over a few cycles, the people who keep forms intact find themselves uncompetitive for support, while those who replace standards with novel paperwork climb the ladder.</w:t>
      </w:r>
    </w:p>
    <w:p>
      <w:r>
        <w:t>Narrative immunity. Media and institutional communications adopt correction policies that acknowledge error in forms that do not repair the public effect. Headlines and ledes frame incidents through the new taxonomy; amplification proceeds; weeks later, a correction or quiet update appears after the window in which the narrative mattered. Ombudsman and standards notes treat the sequence as process, not as failure. The practical outcome is that misframing costs little beyond a line on a standards page; the incentives point toward speed and alignment rather than toward accuracy and proportion.</w:t>
      </w:r>
    </w:p>
    <w:p>
      <w:r>
        <w:t>When these three operate together, inversion is complete. Enforcement that guards continuity is chilled, while gestures that dissolve it are celebrated and funded; stories that should have been tested become the record. Citizens adapt: they comply with the new script or step back from public life. The next page turns to that behavioral ledger—the demoralized citizen who learns, by experience, that fidelity to order brings penalties and that withdrawal is the rational choice. Stated once in the tribunal’s register: systems that price virtue and subsidize dissolution stand under judgment for the continuity they erase.</w:t>
      </w:r>
    </w:p>
    <w:p>
      <w:pPr>
        <w:pStyle w:val="Heading1"/>
      </w:pPr>
      <w:r>
        <w:t>Page 6 – The Demoralized Citizen</w:t>
      </w:r>
    </w:p>
    <w:p>
      <w:r>
        <w:t>What moral inversion produces on the floor is not outrage; it is adjustment. People learn how the paperwork moves and arrange their lives to avoid being run over by it.</w:t>
      </w:r>
    </w:p>
    <w:p>
      <w:r>
        <w:t>At work, policy language widens the risk envelope. HR codes fold “impact over intent,” “psychological safety,” and “hostile environment” into sanction matrices; complaint intake accepts anonymous filings and third-party reports; managers are graded on closure rates. The rational employee pre-edits speech, trims meetings to uncontroversial topics, and declines assignments that intersect the taxonomy. Hiring and promotion statements are drafted to formula; dissent is moved to private channels or out of the building. The formal right to speak remains; the practical cost has been made legible.</w:t>
      </w:r>
    </w:p>
    <w:p>
      <w:r>
        <w:t>In civic life, frictions accumulate. Permit regimes define “likelihood of harm” in terms of complaint volume rather than credible threat; security-fee schedules rise with anticipated protest, pricing out certain events. PTA meetings, neighborhood boards, and volunteer efforts adopt the same vocabulary as workplaces; minutes record “climate concerns,” and business proceeds only where language is pre-cleared. Participation falls to the people best adapted to the rules; the rest send money or stay home.</w:t>
      </w:r>
    </w:p>
    <w:p>
      <w:r>
        <w:t>On platforms and in finance, process replaces adjudication. Moderation systems label and downrank content that crosses changing policy lines; appeal paths are slow or opaque. Payment processors and banks implement enhanced due diligence or de-banking for entities judged “reputational risk,” often via vendor policy rather than statute. The message is consistent: you may speak, but distribution and rails are conditional and revocable.</w:t>
      </w:r>
    </w:p>
    <w:p>
      <w:r>
        <w:t>Households respond with substitution. Parents move children to homeschooling or private co-ops; communities form parallel institutions for schooling, security, and dispute resolution; small businesses add cash discounts, bypass fragile logistics, or limit their dependency on single vendors. Skilled workers emigrate; others acquire second residencies or dual citizenships; savings diversify toward assets that are harder to freeze or inflate away. None of this requires a manifesto. It is a ledger of private choices made after public trust is priced one complaint, one fee, one policy revision at a time.</w:t>
      </w:r>
    </w:p>
    <w:p>
      <w:r>
        <w:t>Demoralization, in this register, is not a feeling but a pattern of exits: from speech into silence, from common spaces into private ones, from national capacity into dependency on elsewhere. The next page sets the counter-standard—how fidelity to natural law restores the five links and gives ordinary people reasons to re-enter public life. Stated once in the tribunal’s register: a regime that teaches caution where courage was required will be judged by the citizens it drives out of the square.</w:t>
      </w:r>
    </w:p>
    <w:p>
      <w:pPr>
        <w:pStyle w:val="Heading1"/>
      </w:pPr>
      <w:r>
        <w:t>Page 7 – Natural Law Response: Fidelity as Sanity</w:t>
      </w:r>
    </w:p>
    <w:p>
      <w:r>
        <w:t>The counter to capture and inversion is not a new ideology; it is fidelity to the things that let a people continue as themselves. Natural law gives the checklist; administration supplies the tools.</w:t>
      </w:r>
    </w:p>
    <w:p>
      <w:r>
        <w:t>Children. Instrument: tax and transfer design. Lever: remove marriage/second-earner penalties, convert child support into per-child allowances that scale with earned income, and open serviced land for family housing. Effect to measure: rising marriage formation and total fertility toward replacement, falling age at first birth within a sane band, childcare and housing cost indices bending down relative to wages.</w:t>
      </w:r>
    </w:p>
    <w:p>
      <w:r>
        <w:t>Language. Instrument: statute and style. Lever: protect duty-bearing civic nouns in law and forms; require that instruction hours in the civic tongue meet a floor; tie agency funding to adherence in briefs, notices, and portals. Effect: audited presence of civic language in law and school; fewer euphemisms that strip obligations from offices.</w:t>
      </w:r>
    </w:p>
    <w:p>
      <w:r>
        <w:t>Land. Instrument: tenure and water law. Lever: long-horizon leases and tax treatment for stewards; hedgerow/rotation supports; cap loss in supply systems and fund irrigation upgrades that reduce draw per yield. Effect: soil organic matter and water tables trending up on five-year windows; local seedlines and working waterfronts persisting.</w:t>
      </w:r>
    </w:p>
    <w:p>
      <w:r>
        <w:t>Skill. Instrument: procurement and licensure. Lever: bind public contracts to apprenticeship ratios and local-content floors in critical sectors; stand up public toolrooms and repair rights that keep mastery in place; fast-track recognition for journeymen who train. Effect: journeyman:apprentice ratios rising, time-to-competency falling, higher share of critical spares/tooling produced domestically, uptime without external specialists.</w:t>
      </w:r>
    </w:p>
    <w:p>
      <w:r>
        <w:t>Security. Instrument: criminal procedure and emergency law. Lever: hard sunsets and supermajority renewals for emergency powers; protect witness pathways where violence concentrates; set border processing SLAs—firm, fast, reviewable; audit clearance→conviction proportionality for serious harm. Effect: shorter emergency durations, higher serious-crime closure with proportionate sentencing, reliable border throughput that does not collapse the street downstream.</w:t>
      </w:r>
    </w:p>
    <w:p>
      <w:r>
        <w:t>These are not slogans but switches—policy positions that move numbers visible to citizens. Publish five dashboards keyed to the links, tie executive bonuses and legislative renewals to improvement without degrading the others, and give independent auditors clawback authority when agencies slip into language games or process theatre. The reframers thrive in fog; standards, thresholds, and public ledgers clear it.</w:t>
      </w:r>
    </w:p>
    <w:p>
      <w:r>
        <w:t>Stated once in the tribunal’s register and then returned to prose: sanity is fidelity to children, language, land, skill, and security—kept together, measured in the open, and restored wherever capture has replaced duty with performance.</w:t>
      </w:r>
    </w:p>
    <w:p>
      <w:pPr>
        <w:pStyle w:val="Heading1"/>
      </w:pPr>
      <w:r>
        <w:t>Page 8 – Third Positionist Lens: Beyond Left and Right (Reworked)</w:t>
      </w:r>
    </w:p>
    <w:p>
      <w:r>
        <w:t>The chapter has shown how language was seized, how credentials and grants made the new glossary compulsory, how indeterminacy gave gatekeepers the power to reinterpret, and how multiplying grievance categories turned disagreement into sanction. Seen in that light, the familiar Left–Right divide is less an opposition than a division of labor inside the same machinery. The Left supplies the moral vocabulary—impact tests, safety claims, and new protected categories—that recode duty as harm and reset what institutions must reward. The Right supplies the instruments of enforcement—corporate consolidations, emergency authorities, and security doctrines—that keep the new rules in place when consent thins. Together they complete the inversion traced on earlier pages: the glossary tells offices whom to praise and punish; the exceptions make that preference routine.</w:t>
      </w:r>
    </w:p>
    <w:p>
      <w:r>
        <w:t>Energy policy shows the pairing in practice. When finance screens and permitting heuristics (justified as “planetary responsibility”) exclude high-duty-cycle power, scarcity is no accident; when rate design and incumbent protections underpay capacity and inertia, scarcity becomes durable. The rhetoric differs by camp, the household bill does not. At the border, one side converts firm process into a cruelty narrative and normalizes ad-hoc discretion; the other performs severity without service-level agreements that would make the law predictable and fast. The result is the same administrative message citizens have learned elsewhere in this chapter: rules are flexible for causes and rigid for you. In industry and schooling, identity-indexed procurement and conduct codes crowd out toolroom competence and content mastery, while lowest-bid consolidation and outsourcing finish the hollowing that grievance policy began. The graduate is credentialed in the glossary; the workshop that could have taught mastery is gone.</w:t>
      </w:r>
    </w:p>
    <w:p>
      <w:r>
        <w:t>Finance and emergency governance close the loop. Programs written by guidance and enforced by accreditation are defended as humane necessity; rolling exceptions, procurement shortcuts, and surveillance authorities ensure they survive review. Failures are reinterpreted as proof the lens was right and the exception too timid. Citizens respond as Page 6 recorded: self-censorship at work, exit from public life, parallel institutions at home. What looks like Left and Right on a ballot looks like one operating system at the service counter.</w:t>
      </w:r>
    </w:p>
    <w:p>
      <w:r>
        <w:t>The third-position answer in this chapter is not to split the difference but to break the partnership: pay for reliability so scarcity loses leverage; make border processes firm, fast, and reviewable so theatre loses its script; tie public money to apprenticeships and local capability so rubrics cannot substitute for skill; hard-sunset emergency powers and claw back budgets when guidance tries to be law. Each move is judged by the same natural-law standard used on Page 7—children, language, land, skill, security strengthened together—and none may be traded to buy virtue or order on paper.</w:t>
      </w:r>
    </w:p>
    <w:p>
      <w:r>
        <w:t>Stated once in the tribunal’s register: Left and Right, as practiced, are complementary engines of capture; only standards tied to continuity can end their arrangement.</w:t>
      </w:r>
    </w:p>
    <w:p>
      <w:pPr>
        <w:pStyle w:val="Heading1"/>
      </w:pPr>
      <w:r>
        <w:t>Page 9 – Archeo-Futurist Reversal</w:t>
      </w:r>
    </w:p>
    <w:p>
      <w:r>
        <w:t>Reversal begins where this chapter started: with language, then pipelines, then the levers that made capture routine. Archeo-futurism refuses the trade the reframers offered—identity in exchange for capability. It keeps the inherited forms that carry a people forward while it installs the machinery that ends rationing.</w:t>
      </w:r>
    </w:p>
    <w:p>
      <w:r>
        <w:t>Language and law. The glossary is put back under public standard, not factional style. Statutes and official forms protect duty-bearing civic nouns in law and school; agency style books are audited for euphemisms that detach obligation from office. Courts and regulators are instructed to prefer plain-meaning canons over theories that reserve reinterpretation for gatekeepers. This does not police speech; it restores the words by which obligations bind.</w:t>
      </w:r>
    </w:p>
    <w:p>
      <w:r>
        <w:t>Pipelines and mastery. Credential choke points are reopened by statute: teacher and professional licensing must admit multiple pathways anchored in demonstrated competence; public procurement ties awards to apprenticeship ratios and local-content floors in strategic sectors. Toolrooms and repair rights are treated as infrastructure—funded, staffed, and protected—so mastery compounds where the work is done. Accreditation bodies are de-monopolized or bound by transparency and appeal standards so doctrine cannot be priced into access.</w:t>
      </w:r>
    </w:p>
    <w:p>
      <w:r>
        <w:t>Capacity and abundance on Earth. Rate design pays for reliability—capacity and inertia receive explicit compensation—and licensing follows service-level agreements that timeline plants to commercial reality. Baseload fission and high-duty-cycle generation are eligible for finance on lifecycle math, not fashion. Grid and rail interties are built to standards that favor resilience over spreadsheet “efficiency,” with public money contingent on local training and domestic spare-part capability. The test is uptime that households can feel, not press releases.</w:t>
      </w:r>
    </w:p>
    <w:p>
      <w:r>
        <w:t>Borders, justice, and exception. Border processes become firm, fast, and reviewable—service levels published; removals predictable; asylum and labor channels separate and auditable. Criminal procedure is tuned back to proportional deterrence; emergency powers hard-sunset with supermajority renewals and clawback audits when guidance tries to stand in for law. The point is not spectacle but predictability—the opposite of the discretionary fog that enabled inversion.</w:t>
      </w:r>
    </w:p>
    <w:p>
      <w:r>
        <w:t>Land and stewardship. Tenure and water instruments reward long-horizon care—soil organic matter and aquifer tables trending up are treated as performance, not poetry. Working waterfronts, seedlines, and commons are defended against paper conversions that liquidate capability for one-time gains.</w:t>
      </w:r>
    </w:p>
    <w:p>
      <w:r>
        <w:t>Archeo-futurism is procedural, not nostalgic: restore the words that bind, reopen the gates that train, fund the capacity that runs, and limit the exceptions that corrode consent. Stated once in the tribunal’s register: a future worthy of inheritance is built by forms that hold and machines that work, judged by continuity kept.</w:t>
      </w:r>
    </w:p>
    <w:p>
      <w:pPr>
        <w:pStyle w:val="Heading1"/>
      </w:pPr>
      <w:r>
        <w:t>Page 10 – Closing Turn: The Machinery of Conditioning</w:t>
      </w:r>
    </w:p>
    <w:p>
      <w:r>
        <w:t>The chapter has traced a working machine. It begins with style guides that rename duties until they can no longer bind. It continues through credentials and grants that make the glossary non-optional. It runs on a theory of indeterminacy that reserves reinterpretation for gatekeepers. It expands through grievance categories that manufacture jurisdiction. It culminates in inversion—enforcement punished, rupture rewarded, corrections late—and ends in demoralization, where citizens learn to step back because process outlasts proportion. Nothing here required a revolution. It required memoranda, rubrics, and audits.</w:t>
      </w:r>
    </w:p>
    <w:p>
      <w:r>
        <w:t>The reckoning that follows uses a stable set of tests. Criteria: intention (were frameworks adopted that predictably transferred authority to venues insulated from recall); competence (did decision-makers know or have reason to know—because precedents, audits, or staff memos made outcomes likely); effect (did continuity degrade in children, language, land, skill, or security beyond ordinary volatility); and gain (did implementing circles concentrate advantage or indemnity while households bore cost). Burden: on those who changed anchored practice, not the public.</w:t>
      </w:r>
    </w:p>
    <w:p>
      <w:r>
        <w:t>Admissible record is administrative, not impressionistic: statutes; treaty and accreditation clauses; executive findings and guidance; budget, procurement, and licensing lines; complaint and sanction matrices; style-book and curriculum revisions; dispute dockets; emergency orders and renewals; and dashboards that register life as lived—births and marriage formation, instruction hours in the civic tongue, soil and water metrics, journeyman ratios, clearance→conviction pipelines, response tails. Where books and streets disagree, the street stands until reconciled.</w:t>
      </w:r>
    </w:p>
    <w:p>
      <w:r>
        <w:t>Remedies follow proportion. Where betrayal—intentional or reckless—is shown: repeal and clawback; disqualification from offices, boards, and concessions that were misused; restitution where harm can be priced without compounding it; and structural repair—procurement tied to apprenticeship and local capability; rate design that pays for reliability; border processes that are firm, fast, and reviewable; emergency powers that expire without supermajority renewal. Where error without betrayal is shown, reform is specified and measured against the same five links.</w:t>
      </w:r>
    </w:p>
    <w:p>
      <w:r>
        <w:t>Safeguards keep conditioning from reinstalling itself: publish five continuity dashboards; bind executive bonuses and program renewals to improvements that do not degrade the other links; enforce jurisdictional walls and mutual non-domination covenants; require transparency and appeal paths for accreditors and platforms; empower independent auditors with clawback authority when guidance impersonates law.</w:t>
      </w:r>
    </w:p>
    <w:p>
      <w:r>
        <w:t>With the machine mapped and the rules set, the work moves from diagnosis to sentence and repair. Stated once in the tribunal’s register: conditioning ends where continuity is restored, and from here the record will be taken in order.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