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5 — Machinery of Conditioning (Rewrite)</w:t>
      </w:r>
    </w:p>
    <w:p>
      <w:pPr>
        <w:pStyle w:val="Heading1"/>
      </w:pPr>
      <w:r>
        <w:t>Page 1 – The Conditioned Reflex</w:t>
      </w:r>
    </w:p>
    <w:p>
      <w:r>
        <w:t>Conditioning is the installation of cue→response loops that fire faster than judgment. In modern institutions the cues are administrative—prompts, warnings, pop-ups, trainings, and policy “acknowledge” gates—wired to access, reputation, and pay. The effect is simple: people learn to click, repeat, and comply before they think, because non-compliance is metered as risk.</w:t>
      </w:r>
    </w:p>
    <w:p>
      <w:r>
        <w:t>The architecture is standard across domains. An authority sets a policy page that can change without deliberation; interfaces interpose prompts between a worker and their task; completion is recorded to a dashboard; escalation is automatic when acknowledgment lags. Access badges, email, code deploys, or publication rights are contingent on staying green. The speed of the loop—the interval between prompt and penalty—trains the response more effectively than any argument could.</w:t>
      </w:r>
    </w:p>
    <w:p>
      <w:r>
        <w:t>Comparative stitch: regimes that once relied on mass calisthenics of consent—posters, loudspeakers, morning assemblies—now share a functional twin with growth teams and safety/compliance offices. The former drilled slogans in crowds; the latter drip prompts to individuals, stacking badges, streaks, and “just to be safe” attestations. Different costumes, same conditioning: a reflex trained by repetition and consequence rather than by persuasion.</w:t>
      </w:r>
    </w:p>
    <w:p>
      <w:r>
        <w:t>Interfaces do the heavy lifting. Notifications are tuned to interrupt; “smart defaults” pre-select the compliant choice; warnings are phrased as personal exposure (“your account may be limited,” “access will be restricted”). Strike systems are calibrated so that early infractions feel recoverable but accumulate to throttles, shadow limits, or suspension. Appeals time out. People discover that pre-editing behavior avoids the loop; the loop’s purpose is achieved.</w:t>
      </w:r>
    </w:p>
    <w:p>
      <w:r>
        <w:t>The loop migrates with the person. Workplace attestations and trainings mirror platform prompts; procurement and grants carry the same “required statements” and checkboxes; academic portals replicate the cadence for students and faculty. The citizen becomes the surface upon which many small, compatible loops are run. None require a law; all require the next click.</w:t>
      </w:r>
    </w:p>
    <w:p>
      <w:r>
        <w:t>Natural Law stitch: language that carries duty must not be replaced by prompts that bypass judgment.</w:t>
      </w:r>
    </w:p>
    <w:p>
      <w:r>
        <w:t>What starts as a convenience becomes an operating system. Once the reflex is installed, the next layer—fear—makes it stick: liability and safety framings that convert delay or dissent into personal risk. Page 2 names that circuit and shows how reputational and legal exposure transform a trained reflex into a habit of self-censorship.</w:t>
      </w:r>
    </w:p>
    <w:p>
      <w:pPr>
        <w:pStyle w:val="Heading1"/>
      </w:pPr>
      <w:r>
        <w:t>Page 2 – The Fear Circuit</w:t>
      </w:r>
    </w:p>
    <w:p>
      <w:r>
        <w:t>Once the reflex is trained, fear keeps it running. Fear here is not an emotion campaign; it is a policy environment in which delay or dissent is priced as personal exposure. The instrument is language—“impact over intent,” “psychological safety,” “misinformation harm,” “brand/reputational risk”—embedded in codes, platforms, and contracts. The signal to the individual is precise: do not be the reason your team, your account, or your employer incurs cost.</w:t>
      </w:r>
    </w:p>
    <w:p>
      <w:r>
        <w:t>The pathway is administrative. HR policies broaden the “hostile environment” test to cumulative offense and third-party complaint; platform rules add “potential for harm” and “context lacking” categories that allow preemptive downgrades; event permits index security fees to anticipated objections rather than to credible threat. Insurance carriers and accreditors treat adoption of these policies as a proxy for diligence; legal counsel advises conformity. No single clause forbids speech; the stack makes caution rational.</w:t>
      </w:r>
    </w:p>
    <w:p>
      <w:r>
        <w:t>Comparative stitch: twentieth-century systems staged fear in public—denunciations, ritual apologies, and loyalty performances that taught by spectacle. Twenty-first-century firms and agencies stage fear in paperwork—investigation notices, suspension pending review, nondisparagement riders, and policy-acknowledgment logs. One makes examples in the square; the other makes examples in the inbox. The behavior learned is the same: speak less, conform more, escalate nothing.</w:t>
      </w:r>
    </w:p>
    <w:p>
      <w:r>
        <w:t>Mechanically, the circuit is simple. A complaint—often anonymous—opens an intake; intake triggers a freeze (“pending investigation”); freeze halts access or distribution; review windows are long enough to make the freeze the punishment. Even when reinstated, accounts and employees carry the mark: “previous incident,” “flagged for monitoring,” “heightened scrutiny.” Platforms layer strikes; employers layer “performance improvement plans”; organizers accumulate security-fee histories that price them out. The fastest path is to avoid the categories, terms, and topics that draw risk. Pre-editing behavior becomes a skill.</w:t>
      </w:r>
    </w:p>
    <w:p>
      <w:r>
        <w:t>The reach is wider than platforms and HR. Procurement contracts include “morals clauses” and “reputational risk” exits; banks apply enhanced due diligence to customers that trigger vendor policy; payment processors throttle first and ask later. A small set of policy phrases therefore controls the rails—speech may remain licit while distribution, finance, and venues become conditional.</w:t>
      </w:r>
    </w:p>
    <w:p>
      <w:r>
        <w:t>Natural Law stitch: proportionate justice punishes concrete harm; ambient fear punishes duty.</w:t>
      </w:r>
    </w:p>
    <w:p>
      <w:r>
        <w:t>Fear does not create attention; it redirects it. The next layer of the machine supplies the fuel—ranking and notification systems that keep citizens inside the feed where fear’s cues are most efficiently delivered. Page 3 traces that attention architecture and shows how engagement metrics make the loop profitable as well as effective.</w:t>
      </w:r>
    </w:p>
    <w:p>
      <w:pPr>
        <w:pStyle w:val="Heading1"/>
      </w:pPr>
      <w:r>
        <w:t>Page 3 – The Attention Trap</w:t>
      </w:r>
    </w:p>
    <w:p>
      <w:r>
        <w:t>Conditioning needs fuel. Attention systems provide it by making the most rewarded acts the most arousing ones. The architecture is straightforward: ranking that prefers items with fast reactions, push schedules that keep the session open, and headline/lede templates that preload a moral frame before any facts can cool it. The result is not merely distraction; it is a distribution of cues that optimizes for reflex over deliberation.</w:t>
      </w:r>
    </w:p>
    <w:p>
      <w:r>
        <w:t>Ranking is the first motor. Feeds weight recency, velocity, and engagement type, so content that provokes quick taps and replies outruns content that demands reading. Watch-time thresholds and click-to-dwell gaps teach producers to frontload conflict and signal tribe early. When corrections come, they travel slower and shorter; the initial frame keeps the field because the machine paid it first.</w:t>
      </w:r>
    </w:p>
    <w:p>
      <w:r>
        <w:t>Push is the second motor. Notifications are batched to create anticipatory checking; streaks and badges convert return behavior into a score; “did you see?” prompts target the social cost of missing the moment. Each check reopens the loop described on Pages 1–2: cue, fear-of-missing or fear-of-penalty, low-friction compliance. The measure of success—session length—confirms that the loop is working, not that truth has been served.</w:t>
      </w:r>
    </w:p>
    <w:p>
      <w:r>
        <w:t>Comparative stitch: where twentieth-century campaigns engineered attention with rallies, megaphones, and poster walls—synchronized chant and spectacle—twenty-first-century engagement stacks do it with A/B-tested outrage and infinite scroll. The medium changed from square to screen; the cadence of arousal did not. Both make the urgent feel more real than the true.</w:t>
      </w:r>
    </w:p>
    <w:p>
      <w:r>
        <w:t>Templates finish the work. Hed/lede patterns center impact and intent claims; cause language is placed in the first sentence; quotations are curated to establish moral direction before context. Producers learn that deviation from the house template costs reach; editors learn that corrections after the cycle do not repair what ranking has already distributed. The incentive is internalized: narrate first, verify later; align with the frame or be ignored.</w:t>
      </w:r>
    </w:p>
    <w:p>
      <w:r>
        <w:t>The effect is measurable. Session time rises; re-open rates hold; correction-read ratios remain low. Citizens exposed to the loop learn to seek cues, not evidence, because cues unlock participation and avoid penalties. Institutions then cite the “engagement” as mandate for more of the same. Natural Law stitch: attention ordered to truth keeps language intact; attention ordered to arousal dissolves it.</w:t>
      </w:r>
    </w:p>
    <w:p>
      <w:r>
        <w:t>Reward and punishment convert attention into behavior. Page 4 maps the operant schedules—boosts, grants, tiers on one side, throttles, strikes, and de-banking on the other—that teach citizens which actions pay and which incur cost.</w:t>
      </w:r>
    </w:p>
    <w:p>
      <w:pPr>
        <w:pStyle w:val="Heading1"/>
      </w:pPr>
      <w:r>
        <w:t>Page 4 – Reward and Punishment</w:t>
      </w:r>
    </w:p>
    <w:p>
      <w:r>
        <w:t>Attention primes the reflex; schedules lock it in. Institutions run operant programs that attach reward to compliant behavior and cost to deviation. Because these programs are automated and layered—platform, employer, vendor, bank—the lesson arrives quickly and from multiple directions.</w:t>
      </w:r>
    </w:p>
    <w:p>
      <w:r>
        <w:t>Rewards are frontloaded and visible. Platforms elevate “verified” accounts and tier creators by conduct as much as by craft; reach and monetization unlock after policy attestations and content hygiene scores clear. Employers stack badges, internal reputation points, and preferred-shift lotteries on top of training completion and “climate” participation. Grantmakers weight renewals toward applicants who use the glossary, file the right “impact” statements, and report alignment with current rubrics. The path of least resistance is to speak and build inside the template, because the template pays.</w:t>
      </w:r>
    </w:p>
    <w:p>
      <w:r>
        <w:t>Punishments are progressive and often opaque. Strike systems throttle distribution before they suspend; de-boosting and limited discoverability reduce reach long before deletion. HR matrices start with “coaching” and escalate to “performance plans” whose timelines beat appeals. Banks and processors apply “enhanced due diligence” or “reputational risk” flags that slow or freeze flows pending review; venues and cities index security fees to forecasted objections so that certain events price themselves out. No single penalty feels final; the compound effect is to train avoidance.</w:t>
      </w:r>
    </w:p>
    <w:p>
      <w:r>
        <w:t>Comparative stitch: where ration coupons, party housing lists, and work-unit privileges once habituated alignment with doctrine, today’s verified tiers, bonus pools, and platform boosts habituate alignment with policy. The costume changed from commissar to compliance dashboard; the skin sensation—anticipating reward, fearing throttle—did not.</w:t>
      </w:r>
    </w:p>
    <w:p>
      <w:r>
        <w:t>The schedules are tuned to be teachable. Minor deviations are forgiven if followed by visible affirmation; “good standing” is a state that can be regained through extra compliance. Producers, teachers, and clerks learn to pre-clear language, aim for “brand safe,” and avoid topics that trigger manual review. Advocacy that travels with the rubric earns algorithmic allies; craft that violates it earns a private ceiling. Over time, the rewards tilt output toward what the rubric can measure and punishes the mastery it cannot.</w:t>
      </w:r>
    </w:p>
    <w:p>
      <w:r>
        <w:t>Natural Law stitch: in a sane order, rewards attach to competence and service; schedules that pay conformity and punish fidelity to duty invert the standard.</w:t>
      </w:r>
    </w:p>
    <w:p>
      <w:r>
        <w:t>These schedules do not sit alone; they are woven into policy update cycles that retroactively redefine violations and require fresh attestations. The citizen caught in the stack learns to move before the rule moves—and then to speak less. Page 5 maps that closed circuit: how cue, fear, attention, and operant schedules consolidate into the Loop of Obedience that narrows action with each turn.</w:t>
      </w:r>
    </w:p>
    <w:p>
      <w:pPr>
        <w:pStyle w:val="Heading1"/>
      </w:pPr>
      <w:r>
        <w:t>Page 5 – The Loop of Obedience</w:t>
      </w:r>
    </w:p>
    <w:p>
      <w:r>
        <w:t>A loop is complete when each turn makes the next turn easier to start and harder to resist. The conditioning machine achieves this by linking its parts into a single workflow: a cue arrives; fear frames the stakes; attention tools deliver the message first; operant schedules pay or punish; and then the policy shifts just enough to require fresh acknowledgements. The field of permitted action shrinks; the loop tightens.</w:t>
      </w:r>
    </w:p>
    <w:p>
      <w:r>
        <w:t>Start with the cue. An interface interposes a warning or an attestation between the person and their task. Delay triggers a reminder; non-compliance logs a strike; access or reach is reduced while “under review.” The fear circuit converts friction into exposure—HR policy or platform rules state that “failure to follow guidance may result in limitation,” and the person understands that “limitation” means cost today, not theory tomorrow.</w:t>
      </w:r>
    </w:p>
    <w:p>
      <w:r>
        <w:t>Attention systems ensure the cue is seen in time and in tone. Notifications batch to reopen the session; the message arrives as an alert with a moral frame attached—“misinformation,” “safety,” “equity impact,” “brand risk.” Templates present the compliant choice as default; the “skip” is grayed or hidden. The fastest path is obvious.</w:t>
      </w:r>
    </w:p>
    <w:p>
      <w:r>
        <w:t>Operant schedules make the lesson durable. A quick affirmation restores green status; a second infraction cuts distribution or locks features; a third triggers manual review or an access freeze. The review takes long enough that reinstatement is a technical victory and a practical loss. Workers and creators learn to pre-edit to avoid the queue; managers learn to avoid the topics that summon it.</w:t>
      </w:r>
    </w:p>
    <w:p>
      <w:r>
        <w:t>Then the rule moves. Policy pages update with new categories, examples, and “clarifications.” Interfaces force re-acknowledgement. Past behavior is re-graded against the new text and may count toward strikes. The effect is not only deterrence; it is training: people act ahead of the rule, because the cost of being late is borne by the actor, not the rule-maker.</w:t>
      </w:r>
    </w:p>
    <w:p>
      <w:r>
        <w:t>Comparative stitch: yesterday’s “rectification” campaigns announced narrower speech zones each season and required public loyalty performances; today’s rolling terms-of-service and policy updates require private loyalty performances—checkboxes, trainings, and statements—on the same cadence. The venue changed; the choreography did not.</w:t>
      </w:r>
    </w:p>
    <w:p>
      <w:r>
        <w:t>Natural Law stitch: consent presumes stable, knowable rules—law that moves faster than citizens can follow annuls the premise it claims to defend.</w:t>
      </w:r>
    </w:p>
    <w:p>
      <w:r>
        <w:t>What this loop produces is predictable: compliance that precedes conviction and a repertoire of topics no one touches. The next page records the psychological endpoint: not rage but resignation, not argument but exit. Page 6 — Despair as Default shows how households and skilled workers adapt by stepping out of public life and into parallel arrangements.</w:t>
      </w:r>
    </w:p>
    <w:p>
      <w:pPr>
        <w:pStyle w:val="Heading1"/>
      </w:pPr>
      <w:r>
        <w:t>Page 6 – Despair as Default</w:t>
      </w:r>
    </w:p>
    <w:p>
      <w:r>
        <w:t>When a loop narrows action each turn, people do not shout; they route around it. The visible outcome of conditioning is not mass fervor but quieter streets, thinner benches, and private substitutions that keep a household alive while public life contracts.</w:t>
      </w:r>
    </w:p>
    <w:p>
      <w:r>
        <w:t>Work is the first ledger. Employees adopt safe-script habits: meeting language trimmed to policy-tested phrases; emails engineered to be screenshot-proof; risk topics parked in side channels. Promotion statements repeat the glossary; dissent moves off-platform or out the door. Managers shape work to the incentives—targets that raise visibility, trainings that raise compliance scores, projects that avoid review queues. The organization appears aligned; it is simply avoiding friction.</w:t>
      </w:r>
    </w:p>
    <w:p>
      <w:r>
        <w:t>Civic life tracks the same curve. Event permits embed “likelihood of harm” pricing keyed to objection volume; organizers learn that a small, organized group can raise security fees beyond viability. PTA meetings and boards adopt vocabulary audits in minutes; volunteers step back rather than litigate adjectives. Voter turnout and local association membership drift down in the very precincts where forms grow thicker. The square is open; the cost to enter is understanding the script and accepting the fees.</w:t>
      </w:r>
    </w:p>
    <w:p>
      <w:r>
        <w:t>Rails make the quiet rational. Moderation systems downrank before they delete; appeals time out; payment processors flag “reputational risk” and freeze first; banks escalate KYC for clients who trigger vendor policies. A workshop that depends on platforms and rails learns to play small, to split risk across accounts, or to transact off-grid. The lesson is not ideology; it is survival.</w:t>
      </w:r>
    </w:p>
    <w:p>
      <w:r>
        <w:t>Households substitute. Parents migrate to homeschooling and co-ops when school codes turn discipline into paperwork theater; skilled workers pursue second residencies when employers and jurisdictions treat emergency powers as a management style; savings diversify into instruments that can be held without permission. Parallel institutions appear—security co-ops, mutual aid, private arbitration—because the public baseline does not meet the need. Comparative stitch: where post-purge societies performed loyalty and withdrew in fear of informers, modern citizens perform compliance and withdraw because the policy stack is faster than the appeal.</w:t>
      </w:r>
    </w:p>
    <w:p>
      <w:r>
        <w:t>Natural Law stitch: when duty is priced as risk, children, language, land, skill, and security wither together.</w:t>
      </w:r>
    </w:p>
    <w:p>
      <w:r>
        <w:t>Despair as default is not a mood but a pattern of exits—speech into silence, common spaces into private ones, national capacity into dependence on elsewhere. The next page shows how that pattern is made durable at source—Education &amp; Credential Pipelines that set the glossary and the gate before a citizen’s first job.</w:t>
      </w:r>
    </w:p>
    <w:p>
      <w:pPr>
        <w:pStyle w:val="Heading1"/>
      </w:pPr>
      <w:r>
        <w:t>Page 7 – Manufacturing Consensus: Education &amp; Credential Pipelines</w:t>
      </w:r>
    </w:p>
    <w:p>
      <w:r>
        <w:t>Conditioning becomes durable when the next cohort is trained to enter the loop already pre-edited. The education and credential stack performs that function by turning access to classrooms, licenses, and jobs into an exercise in glossary fluency.</w:t>
      </w:r>
    </w:p>
    <w:p>
      <w:r>
        <w:t>The gate appears first in teacher prep, journalism programs, law, and public administration. Admission prompts and course maps require “positionality” statements and “equity-aligned” objectives; practica and clinic placements evaluate students on process language as much as on technical competence. Exit exams mirror the frame by testing for alignment descriptors rather than for mastery under pressure. A candidate who writes clean briefs, teaches the subject well, or reports accurately can still fail the gate if they do not speak in the rubric.</w:t>
      </w:r>
    </w:p>
    <w:p>
      <w:r>
        <w:t>Accreditation converts local practice into mandate. Program standards encode climate, diversity, and “community impact” criteria with audit checklists; site teams score “alignment” and assign corrective actions; institutions adjust syllabi, assessment descriptors, and reading lists to pass the next visit. Because accreditation is tied to aid, visas, and insurance, few boards fight the paperwork; they hire compliance staff who teach faculty the phrases that trigger “meets standard.” The campus learns to pass audits first and to teach around them second.</w:t>
      </w:r>
    </w:p>
    <w:p>
      <w:r>
        <w:t>Hiring and tenure close the loop. Job ads require DEI or ethics statements; scoring sheets grant points for activist outputs; tenure dossiers track “community impact” and “climate leadership” alongside publications or case outcomes. Peer review follows the same drift: articles using the house lexicon move faster; dissent coded as “methodologically naïve” slows or dies. After two or three cycles, variance narrows to the form.</w:t>
      </w:r>
    </w:p>
    <w:p>
      <w:r>
        <w:t>Comparative stitch: where cadre schools once canonized readings and produced party teachers, accreditation rubrics and required statements now canonize a glossary and produce compliant professionals. Different gatekeepers, same function.</w:t>
      </w:r>
    </w:p>
    <w:p>
      <w:r>
        <w:t>Downstream, K–12 inherits the pipeline. Teacher evaluations reward process vocabulary; discipline codes adopt restorative language without deterrence power; content mastery gives way to reflective narrative that aligns with templates. Parents encounter the loop in conference scripts and portal messaging; apprenticeships thin when classrooms cannot graduate students who pass shop-floor tests.</w:t>
      </w:r>
    </w:p>
    <w:p>
      <w:r>
        <w:t>Natural Law stitch: institutions that teach must put mastery over doctrine and measurable competence over catechism.</w:t>
      </w:r>
    </w:p>
    <w:p>
      <w:r>
        <w:t>This is how conditioning becomes generational: the credential decides who may stand at a dais or sit at a console before the first decision is made. The next page shows how “temporary” authority locks this arrangement into governance—Emergency as Governance: From Extraordinary to Routine.</w:t>
      </w:r>
    </w:p>
    <w:p>
      <w:pPr>
        <w:pStyle w:val="Heading1"/>
      </w:pPr>
      <w:r>
        <w:t>Page 8 – Emergency as Governance: From Extraordinary to Routine</w:t>
      </w:r>
    </w:p>
    <w:p>
      <w:r>
        <w:t>Conditioning graduates to rule when exceptions stop expiring. The instruments are familiar: emergency declarations, interim-final rules, guidance with immediate effect, and “reputational risk” policies that outsource censorship to vendors and platforms. Each bypasses deliberation in the name of speed; together they become the default.</w:t>
      </w:r>
    </w:p>
    <w:p>
      <w:r>
        <w:t>Authority expands through stacked delegations. Executives proclaim emergencies keyed to broad triggers—public order, health, financial stability—then renew on schedule; agencies issue interim rules with comment “post-publication”; boards adopt guidance that binds in practice because insurers, accreditors, and auditors treat it as compulsory. Procurement shortcuts, surveillance scopes, and crowd-control powers slide from time-limited to evergreen. The public notices when ordinary life requires extraordinary permission.</w:t>
      </w:r>
    </w:p>
    <w:p>
      <w:r>
        <w:t>Persistence is achieved by paperwork rather than force. Contracts add morals clauses and “reputational risk” exits; payment processors, app stores, and cloud providers write safety policies that prohibit undefined harms; platforms enforce through automated throttles and strikes. Because each actor can point to policy, and each policy to risk, responsibility disperses. No one censors; the system “manages risk.”</w:t>
      </w:r>
    </w:p>
    <w:p>
      <w:r>
        <w:t>Comparative stitch: where revolutionary committees and extraordinary tribunals once ruled by visible decree, the present regime rules by invisible renewal—platform rules updated overnight, guidance documents with the force of law, vendor policies that bind without a vote. The spectacle is gone; the outcome is the same: discretion concentrated where citizens cannot appeal.</w:t>
      </w:r>
    </w:p>
    <w:p>
      <w:r>
        <w:t>Measurable effects follow. Emergency orders extend beyond initial shocks; “temporary” surveillance tools become standard procurement; event permits acquire permanent “likelihood of harm” factors keyed to complaint volume; financing and insurance require adherence to private standards. Appeals lag months behind decisions measured in hours; reinstatement is a technical cure and a practical defeat. Households adapt with private workarounds; institutions evolve to performance theater that passes audits and fails tasks.</w:t>
      </w:r>
    </w:p>
    <w:p>
      <w:r>
        <w:t>Natural Law stitch: authority that refuses to end on time ceases to be lawful, and proportion requires the exception to shrink as facts do.</w:t>
      </w:r>
    </w:p>
    <w:p>
      <w:r>
        <w:t>Repair begins with time and walls. Sunsets must be hard and enforced—renewal by supermajority with explicit findings and public ledgers of use; guidance that binds must pass through rulemaking or lapse; vendor policies that control speech or access to rails must be transparent, appealable, and subject to independent audit. Jurisdictional walls prevent central capture; clawback powers recover funds spent under unlawful extensions. With exceptions tamed, the incentives that powered conditioning—fear, attention, and operant schedules—lose their sovereign mask.</w:t>
      </w:r>
    </w:p>
    <w:p>
      <w:r>
        <w:t>Archeo-futurist reversal turns here: capacity, mastery, and abundance replace exception as the way problems are solved. Page 9 specifies that build stack and the standards that keep it honest.</w:t>
      </w:r>
    </w:p>
    <w:p>
      <w:pPr>
        <w:pStyle w:val="Heading1"/>
      </w:pPr>
      <w:r>
        <w:t>Page 9 – Archeo-Futurist Reversal: Conditioning Reversed</w:t>
      </w:r>
    </w:p>
    <w:p>
      <w:r>
        <w:t>The antidote to conditioning is not counter-propaganda; it is machinery that makes propaganda irrelevant. A polity exits cue→fear→reward loops by paying for reliability, restoring mastery where work is done, and limiting exceptions that convert guidance into law. The sequence is procedural: standards that bind, capacity that runs, mastery that compounds, abundance that makes rationing unnecessary.</w:t>
      </w:r>
    </w:p>
    <w:p>
      <w:r>
        <w:t>Standards that bind. Put civic language back under statute and style with teeth: duty-bearing nouns in law and forms, plain-meaning canons for agencies and courts, audit flags when euphemisms detach obligation from office. Vendor and platform policies that control speech or access to rails must be published, appealable, and subject to independent audits that can compel reversal and impose clawbacks. Comparative stitch: where mass campaigns once relied on slogans and platforms on prompts, binding standards remove the leverage both require.</w:t>
      </w:r>
    </w:p>
    <w:p>
      <w:r>
        <w:t>Capacity that runs. Rate design pays for reliability—capacity and inertia compensated; interconnection and licensing governed by service-level agreements that timeline plants to commercial reality. High-duty-cycle power (including nuclear) is eligible for finance on lifecycle math, not fashion. Grid, port, and rail interties are built to redundancy targets, not spreadsheet “efficiency.” Scarcity politics lose their teeth when the lights stay on and freight moves on time.</w:t>
      </w:r>
    </w:p>
    <w:p>
      <w:r>
        <w:t>Mastery that compounds. Procurement ties public money to apprenticeship ratios and local-content floors in strategic sectors; public toolrooms and repair rights are treated as infrastructure. Accreditation bodies that gate professions are forced into transparency and appeal; demonstrated competence opens alternative paths to license. Comparative stitch: mass-line cadres and corporate growth teams cannot counterfeit skill at the bench; when mastery is rewarded, templates stop ruling.</w:t>
      </w:r>
    </w:p>
    <w:p>
      <w:r>
        <w:t>Abundance that ends rationing. Industrial policy aims at uptime and domestic spares first, glamour later. Off-planet, orbital power purchase agreements and depot/tug standards create a market before perfection and keep risk local to the firms that choose it. The point is capacity that scales without handing sovereignty to committees or platforms.</w:t>
      </w:r>
    </w:p>
    <w:p>
      <w:r>
        <w:t>Natural Law stitch: the build stack counts as success only if children, language, land, skill, and security strengthen together.</w:t>
      </w:r>
    </w:p>
    <w:p>
      <w:r>
        <w:t>Nothing here argues with the machine; it replaces it. Incentives are moved from conformity to capability, from exception to predictable law, from reputational theatre to measurable service. The final page sets the rules of adjudication—criteria, burden, record, remedies, safeguards—by which this reversal is installed and kept honest.</w:t>
      </w:r>
    </w:p>
    <w:p>
      <w:pPr>
        <w:pStyle w:val="Heading1"/>
      </w:pPr>
      <w:r>
        <w:t>Page 10 – Closing Turn: Conditioning to Correction</w:t>
      </w:r>
    </w:p>
    <w:p>
      <w:r>
        <w:t>This chapter has traced a machine that trains reflex, prices dissent as risk, captures attention, pays compliance, and then moves the rule so the loop tightens. Correction is procedural. We replace prompts with standards, fear with proportion, operant schedules with competence rewards, and exception with law that ends on time.</w:t>
      </w:r>
    </w:p>
    <w:p>
      <w:r>
        <w:t>Criteria. Four questions decide whether a lever is legitimate: (1) Intention—was the lever designed or adopted in a way that predictably shifted authority to venues insulated from recall? (2) Competence—did decision-makers know or have reason to know the likely effects (audit trails, precedents, staff memoranda)? (3) Effect—did the lever degrade continuity in children, language, land, skill, or security beyond ordinary variance? (4) Gain—did implementing circles concentrate advantage or indemnity while households bore cost?</w:t>
      </w:r>
    </w:p>
    <w:p>
      <w:r>
        <w:t>Burden. It rests on the changer. When policy overturns anchored practice (speech codes, accreditation gates, rate designs, emergency delegations), sponsors must show continuity preserved or improved by outcomes, not by redefining metrics.</w:t>
      </w:r>
    </w:p>
    <w:p>
      <w:r>
        <w:t>Admissible record. Statutes and delegations; executive findings and guidance; accreditation standards and site-visit reports; HR/DEI codes and sanction matrices; platform and vendor policies, strike logs, and appeal queues; procurement and licensing records; emergency orders, renewals, and usage ledgers; dashboards that register life as lived—births and marriage formation, instruction hours in the civic tongue, soil and water measures, journeyman ratios, clearance→conviction pipelines, response tails. Where books and streets disagree, the street stands until reconciled.</w:t>
      </w:r>
    </w:p>
    <w:p>
      <w:r>
        <w:t>Remedies. Where betrayal—intentional or reckless—is shown: repeal, clawback, disqualification from boards, offices, concessions; restitution where pricing harm does not compound it; structural fixes—capacity payments for reliability, procurement tied to apprenticeships and local content, border process SLAs, accreditation transparency with appeal, vendor-policy audits with reversal authority. Where error without betrayal is shown: reform with deadlines and public thresholds.</w:t>
      </w:r>
    </w:p>
    <w:p>
      <w:r>
        <w:t>Safeguards. Five locks keep conditioning from reinstalling: (1) hard sunsets on emergency powers with supermajority renewal; (2) jurisdictional walls and mutual non-domination covenants to block central capture; (3) transparency and appeal for accreditors and platforms that control rails; (4) clawback auditors with authority to void guidance that impersonates law; (5) five dashboards tied to pay and renewal, so progress on one link cannot be bought by breaking another.</w:t>
      </w:r>
    </w:p>
    <w:p>
      <w:r>
        <w:t>Comparative stitch: the same tests apply to spectacle and to software—denunciation rallies and inbox strikes alike. Natural Law stitch: correction counts as success only if children, language, land, skill, and security strengthen together. Stated once in the tribunal’s register: conditioning ends where continuity is restored and kept in the open by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