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8 — Correction and Consequences of Misalignment (Rewrite)</w:t>
      </w:r>
    </w:p>
    <w:p>
      <w:pPr>
        <w:pStyle w:val="Heading1"/>
      </w:pPr>
      <w:r>
        <w:t>Page 1 — Opening: Tribunal in Session — Charge of Misalignment</w:t>
      </w:r>
    </w:p>
    <w:p>
      <w:r>
        <w:t>The current is awake. This chapter enters not to praise it, but to price the ways it goes wrong when time is short. Misalignment is any move that spends one pillar to claim another, or that converts the current into brand, file, or theater. It is also the posture that treats delay as wisdom while losses harden. Under a clock, intention is irrelevant. The only test is whether compounded loss across children, language, land, skill, and security slows together—and on a timetable the public can see.</w:t>
      </w:r>
    </w:p>
    <w:p>
      <w:r>
        <w:t>The record to be weighed is simple: signatures on orders and rollovers, guidance used as law, committees that consumed a season, arrests that produced clips instead of corrections, dashboards that improved while life declined, rails that throttled speech and money while insisting nothing had changed. Misalignment wears contrary costumes. In one, it is anger performing courage and recruiting thrill-seekers. In another, it is charisma harvesting loyalty while leaving work undone. Elsewhere, it is managerial welcome—pledges, pilots, and interim guidance that digest energy into minutes. It can be security doctrine that absorbs dissent into process and teaches citizens to fear lawful participation. It can be solutionism that optimizes screens and brittles systems, conservatism that guards forms that no longer carry force, expertise that renames harm until the public stops listening, or popular theatrics that burn fuel without moving a single load-bearing index.</w:t>
      </w:r>
    </w:p>
    <w:p>
      <w:r>
        <w:t>The harm arrives the same way: seasons are lost, sanction thins, and the current that came to keep continuity is taught to exhaust itself or to reach for harsher means. Families delay again. Formation weakens. Stewardship is deferred. Benches thin. Order performs while deterrence fails. The cycle tightens because time does not pause for arguments about tone. When mercy is granted before justice, misalignment deepens; when procedure is used to avoid proportion, it hardens; when spectacle substitutes for repair, it spreads.</w:t>
      </w:r>
    </w:p>
    <w:p>
      <w:r>
        <w:t>This chapter will proceed case by case. Each page names a mode of misalignment, states how to recognize it in the wild, and places its bill on the table. No moralizing is needed. The measures will suffice. We begin with the most seductive failure—the wrath that impersonates courage and spends sanction for heat.</w:t>
      </w:r>
    </w:p>
    <w:p>
      <w:pPr>
        <w:pStyle w:val="Heading1"/>
      </w:pPr>
      <w:r>
        <w:t>Page 2 — Wrath Cults &amp; Romantic Nihilism</w:t>
      </w:r>
    </w:p>
    <w:p>
      <w:r>
        <w:t>Anger is not courage, and heat is not repair. Wrath cults recruit by promising meaning through confrontation; romantic nihilism sweetens the offer by insisting that ruin is purification. Both look like momentum because they produce images and arrests. Neither changes the measures that summoned the current.</w:t>
      </w:r>
    </w:p>
    <w:p>
      <w:r>
        <w:t>Diagnostics appear early. Purity spirals replace proofs; the test becomes willingness to denounce, not willingness to build. Targets are selected for visibility rather than causal weight; victories are counted in clips and follows. Recruitment skews young and transient, value captured by adrenaline rather than apprenticeship. Messaging hardens into a liturgy of enemies and absolutes; internal dissent is treated as betrayal. The calendar privileges moments—marches, occupations, clashes—over timetables that move formation, stewardship, competence, or public safety.</w:t>
      </w:r>
    </w:p>
    <w:p>
      <w:r>
        <w:t>In practice, wrath invites pretext. Security services are strongest when they can point to heat; municipalities are most comfortable policing noise. Escalation on camera yields widened zones, new “tools,” and broader definitions of risk. Insurance and permitting regimes adapt fastest to visible confrontation, not to quiet reconstruction. The outcome is predictable: lawful participants peel off; the remaining field concentrates toward those who need the high, not the repair.</w:t>
      </w:r>
    </w:p>
    <w:p>
      <w:r>
        <w:t>The bill is paid in sanction first. Families and employers who would have tolerated firm, factual advocacy withdraw consent from street action when it becomes performative danger. Clergy, guilds, and local shopkeepers—natural allies under the clock—stand back rather than risk being swept into a spectacle that cannot explain its end state. Media coverage becomes easy to frame and easier to dismiss: the picture overwhelms the problem.</w:t>
      </w:r>
    </w:p>
    <w:p>
      <w:r>
        <w:t>Time is paid next. Attention and money that could have staffed classrooms, funded apprenticeships, stabilized stewardship projects, or supported casework get routed to legal defense and brand protection. Organizers learn to manage social cycles instead of repair cycles. The movement becomes a business of keeping followers warm rather than moving dials cold. When the heat cools, nothing holds.</w:t>
      </w:r>
    </w:p>
    <w:p>
      <w:r>
        <w:t>Finally, the field is paid in harsher instruments. As gentle options close under the cover of “public order,” the current learns the wrong lesson—that only disruption remains. That is the road to total failure: sanction gone, allies alienated, institutions armed with precedent, and the breach untouched. Under a clock, wrath spends the one resource that cannot be replenished—time.</w:t>
      </w:r>
    </w:p>
    <w:p>
      <w:r>
        <w:t>We turn next to a different failure that also exhausts the current: when a figure or brand captures attention and converts repair into loyalty rituals.</w:t>
      </w:r>
    </w:p>
    <w:p>
      <w:pPr>
        <w:pStyle w:val="Heading1"/>
      </w:pPr>
      <w:r>
        <w:t>Page 3 — Charismatic Capture &amp; Personality Economies</w:t>
      </w:r>
    </w:p>
    <w:p>
      <w:r>
        <w:t>Capture by personality begins with relief. A figure appears who can say the quiet parts plainly, aggregate audiences, raise money, and withstand scorn. For a season, this looks like acceleration. Then the current discovers that the center of gravity has moved from repair to orbit—what the figure said today, whom he feuded with, which sponsor signed, which platform banned and reinstated.</w:t>
      </w:r>
    </w:p>
    <w:p>
      <w:r>
        <w:t>Diagnostics are concrete. Message scarcity—once guarded for work that arrests loss—gives way to daily cycles built around the person. Finance centralizes into vehicles controlled by a tight circle; disclosures thin; vendors become loyalists. Staffing follows loyalty rather than competence; departures are explained as disloyalty rather than as governance failures. Local projects are rescheduled to suit appearances; travel calendars outrank implementation calendars. Succession is undefined or fictional—no bench, only proximity to the brand.</w:t>
      </w:r>
    </w:p>
    <w:p>
      <w:r>
        <w:t>The incentives are obvious. Platforms reward attention peaks; donors reward access; media reward conflict. A leader who can flood the zone is courted into doing so, and each flood consumes the very oxygen needed for slow work. When a crisis lands, the figure’s incentives favor dramatic stance over unglamorous correction, because the audience now expects the stance and the business model depends on it.</w:t>
      </w:r>
    </w:p>
    <w:p>
      <w:r>
        <w:t>The bill arrives in three parts. First, fragility. A scandal, an injury, a ban, or a loss in court becomes an existential event because repair has been personalized. Work stalls while the orbit defends the center. Enemies do not have to discredit an agenda; they only have to discredit a person to name the field discredited.</w:t>
      </w:r>
    </w:p>
    <w:p>
      <w:r>
        <w:t>Second, substitution. Loyalty rituals replace delivery. Rallies, merch, and call-and-response consume resources that were once aimed at formation, stewardship, competence, or public safety. Staff learn to optimize for proximity and applause rather than for outcomes; younger recruits learn the same lesson.</w:t>
      </w:r>
    </w:p>
    <w:p>
      <w:r>
        <w:t>Third, tarring. Opponents need only compile the worst clips to paint the whole current as a cult. Natural allies who could have partnered on measurable repair decline association; institutional openings close; regulatory and financial rails become more willing to throttle because “risk” is now legible in brand terms.</w:t>
      </w:r>
    </w:p>
    <w:p>
      <w:r>
        <w:t>Under a clock, personality economies waste time and collapse options. The current that had many centers and many hands becomes a single point of failure. When that point falters—as all do—the energy does not hand off; it dissipates. The test is simple: if removing the figure causes the work to stop, capture has already occurred.</w:t>
      </w:r>
    </w:p>
    <w:p>
      <w:r>
        <w:t>Next we turn to a softer misalignment that consumes the current more politely: managerial co-optation—committees, pilots, and pledges that look like welcome and function like delay.</w:t>
      </w:r>
    </w:p>
    <w:p>
      <w:pPr>
        <w:pStyle w:val="Heading1"/>
      </w:pPr>
      <w:r>
        <w:t>Page 4 — Managerial Co-optation (Optics over Repair)</w:t>
      </w:r>
    </w:p>
    <w:p>
      <w:r>
        <w:t>Co-optation arrives smiling. Institutions announce listening tours, blue-ribbon panels, pilots, pledges, and dashboards. The current is invited inside and thanked for its passion. Then a season passes and nothing that matters has moved.</w:t>
      </w:r>
    </w:p>
    <w:p>
      <w:r>
        <w:t>Diagnostics are routine. “Interim guidance” substitutes for rulemaking and never expires. Task forces expand membership while narrowing remit. Pilots are launched without a sunset or a scale path; results are reported in narrative form rather than in the measures that summoned the current. Dashboards proliferate with inputs and activity counts while the load-bearing indices—formation, language proficiency, stewardship quality, bench strength, serious-crime resolution—are left for a future phase. Press releases outnumber corrections.</w:t>
      </w:r>
    </w:p>
    <w:p>
      <w:r>
        <w:t>The incentives are structural. Management avoids visible loss by avoiding visible choices. Energy is digested into meetings that distribute risk and dilute authorship. Stakeholders are added until any decisive move would offend someone at the table. Budget lines prefer studies to action because studies defer accountability and action creates enemies. Communications teams treat participation as proof of progress; the public is instructed to applaud the process while the breach hardens.</w:t>
      </w:r>
    </w:p>
    <w:p>
      <w:r>
        <w:t>The failure progression is predictable. First, the calendar slips: reviews are extended, consultations reopened, “emerging findings” substituted for decisions. Second, scope is displaced: items that move the dials are labeled “complex” and routed to long tracks; visible but low-weight steps are fast-tracked to show momentum. Third, the current is redefined: the people who pushed for correction are recast as partners whose job is to message patience rather than to insist on results. Critics are told they endanger the very progress they demanded.</w:t>
      </w:r>
    </w:p>
    <w:p>
      <w:r>
        <w:t>The bill is paid in time and trust. Seasons close with no stabilization; the public learns that participation equals delay; credible actors exit the room to work elsewhere; those who remain are selected for tolerance of drift. Meanwhile the indices continue to slide, giving opponents of correction an alibi: “We tried your way.”</w:t>
      </w:r>
    </w:p>
    <w:p>
      <w:r>
        <w:t>Co-optation is not neutral. Under a clock, it is active harm masked as sophistication. The test is straightforward: did any committee decision halt compounded loss across the five pillars on a timetable the public can see? If not, the process was the product.</w:t>
      </w:r>
    </w:p>
    <w:p>
      <w:r>
        <w:t>From polite digestion the chapter turns to forceful absorption: how security and legal apparatuses convert the current into surveillance targets and process cases, teaching citizens to fear lawful participation while the breach continues.</w:t>
      </w:r>
    </w:p>
    <w:p>
      <w:pPr>
        <w:pStyle w:val="Heading1"/>
      </w:pPr>
      <w:r>
        <w:t>Page 5 — Security Absorption &amp; Process Weapons</w:t>
      </w:r>
    </w:p>
    <w:p>
      <w:r>
        <w:t>Absorption by security does not argue with the current; it surrounds it with process. The aim is not to prove a crime but to make participation costly. The message that lands in public life is simple: correction is allowed in theory and punished in practice.</w:t>
      </w:r>
    </w:p>
    <w:p>
      <w:r>
        <w:t>Diagnostics are visible to anyone who tries to act. Investigations open on complaints that never resolve; interviews are scheduled without an end point; subpoenas request broad records for narrow events. Emergency authorities roll over on schedule even as precipitating facts recede. Permits arrive late or with shifting conditions; insurance is quoted at deterrent rates; venue contracts add clauses that allow last-minute cancellations. Payment accounts and crowdfunding links work until heat rises, then “review” begins. Platform access is preserved in name while reach is cut, labels applied, and appeal queues stretch beyond relevance.</w:t>
      </w:r>
    </w:p>
    <w:p>
      <w:r>
        <w:t>The incentives are banal. Process requires no headline justification; each actor defers to a policy written elsewhere; risk is defined as exposure to criticism rather than failure to correct harm. Because the tools are administrative, they remain invisible to those not targeted. From a distance the public sees caution; up close the participants see a gauntlet.</w:t>
      </w:r>
    </w:p>
    <w:p>
      <w:r>
        <w:t>The failure progression follows a tight loop. First comes chilling: people who would have stood in the open decide not to risk licenses, employment, or family stability. Second comes substitution: energy moves from repair to compliance—lawyers retained, documents assembled, statements drafted, meetings attended to avoid sanctions. Third comes selection: those who continue are either unusually resilient or unusually reckless; the prudent withdraw, leaving a field easier to discredit. Fourth comes precedent: each use of an emergency rollover, de-banking, or de-platforming becomes easier to repeat, and institutional memory records it as normal.</w:t>
      </w:r>
    </w:p>
    <w:p>
      <w:r>
        <w:t>The bill is paid in the death of gentle options. When speech, assembly, and finance are made contingent, early remedies fail and escalation logic from earlier pages engages. Communities conclude that asking permission is a tactic designed to consume time. The current routes around the rails that failed it, and the probability rises that the next visible act will be blunter than the last. Trust in law does not vanish; it is reassigned—away from offices and toward small circles that still carry force.</w:t>
      </w:r>
    </w:p>
    <w:p>
      <w:r>
        <w:t>This mode of misalignment is effective in the short run and catastrophic in the long. It teaches citizens that proportion is negotiable and that delay is policy. Under a clock, that lesson guarantees that the next round arrives more brittle and more expensive for everyone involved.</w:t>
      </w:r>
    </w:p>
    <w:p>
      <w:r>
        <w:t>From absorption by security we turn to a different distortion: the promise that technology can optimize away a civilizational breach—solutionism that improves dashboards while human continuities decay.</w:t>
      </w:r>
    </w:p>
    <w:p>
      <w:pPr>
        <w:pStyle w:val="Heading1"/>
      </w:pPr>
      <w:r>
        <w:t>Page 6 — Technologist Misalignment (Solutionism &amp; Dehumanization)</w:t>
      </w:r>
    </w:p>
    <w:p>
      <w:r>
        <w:t>Solutionism advertises speed: connect sensors, train models, optimize flows, publish dashboards. For a while the graphs improve. Then the underlying continuities show wear. What was called efficiency turns out to be dependency; what was measured most got better while what carried life got thin.</w:t>
      </w:r>
    </w:p>
    <w:p>
      <w:r>
        <w:t>Diagnostics surface in substitution patterns. Screen time replaces formation hours; automated tutoring stands in for competent adults; predictive tools nudge policing priorities and then train on their own outputs; maintenance budgets shrink because alerts promise just-in-time fixes; language is offloaded to prompts that smooth meaning while eroding memory and judgment. Uptime looks high until stress arrives and dependency chains break in series.</w:t>
      </w:r>
    </w:p>
    <w:p>
      <w:r>
        <w:t>The incentives favor metrics that can be moved this quarter by purchasing a stack. Vendors sell lock-in as standardization; administrators prefer visible dashboards to dull investments in people and practice; comms prefer screenshots of improvement to the slower story of competence rebuilt. The more the system relies on a few proprietary rails, the more brittle the whole becomes.</w:t>
      </w:r>
    </w:p>
    <w:p>
      <w:r>
        <w:t>Failure progresses in three steps. First, skill atrophy: no one nearby can repair the tool that runs the service; apprenticeship intake slows because real work is hidden behind interfaces; error correction moves offshore or into ticket queues. Second, cascade: a service hiccup propagates because redundancy was replaced by centralized convenience; local discretion is missing because oversight lives in a black box; “temporary” manual overrides become long, expensive workarounds. Third, cultural shift: participants learn that responsibility belongs to the tool; when it fails, accountability is diffuse and delayed.</w:t>
      </w:r>
    </w:p>
    <w:p>
      <w:r>
        <w:t>The bill is paid in human capacity. Training cohorts shrink; local discretion narrows; communities cannot act without a vendor’s update. Under a clock, that loss is lethal: when continuity is threatened, the only durable asset is people who know how to keep things working under stress. Tools that amplify those people align with the current. Tools that replace them for optics misalign and leave a civilization smooth, impressive—and hollow.</w:t>
      </w:r>
    </w:p>
    <w:p>
      <w:r>
        <w:t>From solutionism we turn to a quieter failure on the right flank: comfort and proceduralism that substitute patience for proportion while time closes.</w:t>
      </w:r>
    </w:p>
    <w:p>
      <w:pPr>
        <w:pStyle w:val="Heading1"/>
      </w:pPr>
      <w:r>
        <w:t>Page 7 — Conservative Misalignment (Comfort, Proceduralism, Nostalgia)</w:t>
      </w:r>
    </w:p>
    <w:p>
      <w:r>
        <w:t>Some misalignments do not shout; they reassure. They cite norms and civility, ask for patience until after the next election, and defend forms that no longer carry force. The posture feels like steadiness; under a clock it is surrender dressed as prudence.</w:t>
      </w:r>
    </w:p>
    <w:p>
      <w:r>
        <w:t>Diagnostics are familiar. Leaders emphasize tone policing over harm naming; hearings multiply while thresholds are left undefined; litigation is pursued as strategy even when relief arrives after usefulness; appeals to “the long game” are made without a calendar that matches losses. Cultural nostalgia is used to avoid present arithmetic—family formation deferred, competence pipelines thinned, security outcomes degraded.</w:t>
      </w:r>
    </w:p>
    <w:p>
      <w:r>
        <w:t>Incentives reward deferral. Donor classes prefer quiet; incumbents fear accountability attached to deadlines; coalition maintenance requires avoiding choices that offend reliable partners. Meanwhile, the public reads the stall accurately. Sanction migrates away from parties that can only describe what once worked toward anyone promising to stop the slide now—even if the promise is reckless.</w:t>
      </w:r>
    </w:p>
    <w:p>
      <w:r>
        <w:t>Failure progresses as seasons lost. First, symbolic wins are banked—resolutions, hearings, commemorations—without touching load-bearing indices. Second, reliance on future elections substitutes for action within existing authority; tools that could move outcomes this year are left unused. Third, purges of internal dissent enforce narrative consistency rather than execution, selecting for comfort over competence.</w:t>
      </w:r>
    </w:p>
    <w:p>
      <w:r>
        <w:t>The bill is paid in legitimacy. People who might have aligned under a sober call to immediate repair drift toward sharper options or toward withdrawal. Institutions that could have hosted the current become bystanders talking about guardrails while the vehicle leaves the road.</w:t>
      </w:r>
    </w:p>
    <w:p>
      <w:r>
        <w:t>From procedural sedation we move to a different elite failure: experts who launder harm through models and euphemisms until the public exits official channels.</w:t>
      </w:r>
    </w:p>
    <w:p>
      <w:pPr>
        <w:pStyle w:val="Heading1"/>
      </w:pPr>
      <w:r>
        <w:t>Page 8 — Expert Priesthood &amp; Data Laundering</w:t>
      </w:r>
    </w:p>
    <w:p>
      <w:r>
        <w:t>Expertise is required for correction; priesthood is not. Misalignment begins when experts rename harm to fit models, adjust baselines to flatter trends, and enforce style that places comfort over truth. The result is not literacy but exit.</w:t>
      </w:r>
    </w:p>
    <w:p>
      <w:r>
        <w:t>Diagnostics are textual and statistical. Definitions shift mid-series; dashboards rebase without an audit trail; confidence intervals are moved or omitted when they complicate messaging; “excess” categories absorb outliers that should have triggered alarm; style guides retire duty-bearing terms and replace them with language that spreads responsibility until it cannot be found. Conflicts of interest appear in footnotes after conclusions have already shaped policy.</w:t>
      </w:r>
    </w:p>
    <w:p>
      <w:r>
        <w:t>Incentives are institutional. Careers reward publications and grant capture; agencies prefer forecasts that validate current programs; communications rewards certainty and sanctioning of dissent. Doubt is privatized; confidence is public.</w:t>
      </w:r>
    </w:p>
    <w:p>
      <w:r>
        <w:t>Failure progression follows trust erosion. First, citizens discover discrepancies between lived experience and official narrative—statistics that deny the obvious. Second, parallel stats ecosystems arise: independent audits, whistleblower documents, community dashboards. Third, official channels lose the ability to persuade even when they are right, because the habit of massaging truth has been learned too well.</w:t>
      </w:r>
    </w:p>
    <w:p>
      <w:r>
        <w:t>The bill is paid in harsher corrections later. When early warning is massaged away, later measures must be blunter, more expensive, and less discriminating. Expertise that could have guided proportion becomes a byword for delay; voices that might have calmed escalation are unable to reach those who now act without them.</w:t>
      </w:r>
    </w:p>
    <w:p>
      <w:r>
        <w:t>From priesthood we turn to the grassroots mirror image: popular tactics that signal refusal but do not touch the causes of loss.</w:t>
      </w:r>
    </w:p>
    <w:p>
      <w:pPr>
        <w:pStyle w:val="Heading1"/>
      </w:pPr>
      <w:r>
        <w:t>Page 9 — Popular Misfires: Symbol Wars &amp; Consumer Rage</w:t>
      </w:r>
    </w:p>
    <w:p>
      <w:r>
        <w:t>Misfires feel potent because they are visible. Boycotts trend, merchandise sells, hashtags crest. For a moment, it looks like alignment. Then the indices fail to move and fatigue sets in.</w:t>
      </w:r>
    </w:p>
    <w:p>
      <w:r>
        <w:t>Diagnostics are simple. Campaigns pivot weekly; outcomes are defined as attention, not repair; organizational depth is shallow; logistics are improvised around the news cycle; leaders emerge by virality and vanish when the algorithm moves. Targets are chosen for symbolism rather than causal leverage.</w:t>
      </w:r>
    </w:p>
    <w:p>
      <w:r>
        <w:t>Incentives reward heat. Platforms amplify conflict; vendors monetize identity; media sells drama. Grassroots actors are encouraged to spend themselves on tactics that can be counted in clicks but not in stabilized measures.</w:t>
      </w:r>
    </w:p>
    <w:p>
      <w:r>
        <w:t>Failure progresses through siphoned energy. First, volunteers exhaust on low-yield activity; second, donors tire of paying for peaks without infrastructure; third, the field fragments into feuds about tactics and purity. Meanwhile, formation, language, stewardship, competence, and security continue to deteriorate.</w:t>
      </w:r>
    </w:p>
    <w:p>
      <w:r>
        <w:t>The bill is opportunity cost. Time and money that could have staffed instruction, trained cohorts, repaired local provision, or built neutral rails are consumed by symbolic wins. The public learns to associate activism with churn and to discount calls for help when real work finally appears.</w:t>
      </w:r>
    </w:p>
    <w:p>
      <w:r>
        <w:t>We close by naming the end state toward which all these misalignments tend: hesitation masquerading as mercy, justice deferred until it cannot repair, and a civilization that stabilizes into a dystopian peace because the current was neutralized.</w:t>
      </w:r>
    </w:p>
    <w:p>
      <w:pPr>
        <w:pStyle w:val="Heading1"/>
      </w:pPr>
      <w:r>
        <w:t>Page 10 — Closing Turn: Hesitation &amp; Mercy Before Justice — The On-Ramp to Collapse</w:t>
      </w:r>
    </w:p>
    <w:p>
      <w:r>
        <w:t>Hesitation dresses as compassion; in practice it locks in harm. Mercy offered before justice—without stopping ongoing loss—teaches offenders that thresholds are theater and teaches victims that continuity has no defenders. Under a clock, this posture converts a breach into a structure.</w:t>
      </w:r>
    </w:p>
    <w:p>
      <w:r>
        <w:t>Diagnostics: emergency becomes routine; exceptions replace standards; selective enforcement becomes visible fact; official speech grows louder as outcomes weaken; families adapt to instability as if it were normal. The current is contained not by persuasion but by attrition: its visible actors are harried, its rails throttled, its allies demoralized by cycles that promise correction and deliver delay.</w:t>
      </w:r>
    </w:p>
    <w:p>
      <w:r>
        <w:t>Threshold conditions for Vanguard failure are straightforward. Sanction is spent by trading pillars for optics. Rails—speech, hosting, finance—remain weaponized against lawful participation. Time is gone because reversible losses were allowed to set. The people most capable of building leave, or they stay and go quiet. What remains is a brittle equilibrium that calls itself peace: fewer children, thinner instruction, degraded stewardship, weaker competence pipelines, public safety that performs on paper while fear governs behavior.</w:t>
      </w:r>
    </w:p>
    <w:p>
      <w:r>
        <w:t>This is not collapse as spectacle; it is collapse as normalization. A society can live there a long time. It will do so without the confidence to attempt renewal, because it has taught itself that correction cannot precede permission and that mercy outranks proportion. The next chapter follows this descent in close detail—the deep costs of hesitation and misplaced mercy, and the images of total Vanguard failure—before any path back to renewal can be taken seriously.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