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Chapter 9 — Capstone Judgment: Near-Terms for Administering Correction (Rewrite)</w:t>
      </w:r>
    </w:p>
    <w:p>
      <w:pPr>
        <w:pStyle w:val="Heading1"/>
      </w:pPr>
      <w:r>
        <w:t>Page 1 — What Near-Term Correction Is (and Isn’t)</w:t>
      </w:r>
    </w:p>
    <w:p>
      <w:r>
        <w:t>Near-term correction is not a party line, a manifesto, or a national template. It is a way of deciding, under time pressure, what must be done first so compounded loss stops across five load-bearing areas: children, language, land, skill, and security. It does not ask you to agree on everything; it asks you to recognize when the slide is real and to act in an order that arrests it.</w:t>
      </w:r>
    </w:p>
    <w:p>
      <w:r>
        <w:t>Three tests define the frame.</w:t>
      </w:r>
    </w:p>
    <w:p>
      <w:r>
        <w:t>First, arrest—not adorn. A move qualifies only if it can slow or stop deterioration on a timetable the public can verify. Announcements, pilots, and branding are not movement. If a measure cannot show early traction in its own dials or proxies, it is not near-term correction; it is public relations.</w:t>
      </w:r>
    </w:p>
    <w:p>
      <w:r>
        <w:t>Second, no pillar trades. You do not “save” one area by debiting another. Gains that spend formation to claim safety, or spend competence to claim growth, or rename harm to claim harmony, forfeit sanction. If trade-offs are unavoidable, they are bounded in time, declared in advance, and audited after.</w:t>
      </w:r>
    </w:p>
    <w:p>
      <w:r>
        <w:t>Third, truth must be inexpensive. The public should not need a credential to check progress. Datasets are open, refresh on known cadences, and are reproducible by critics. Style never outruns receipts. This lowers heat without lowering standards: arguments become about facts, clocks, and method, not about faith in institutions.</w:t>
      </w:r>
    </w:p>
    <w:p>
      <w:r>
        <w:t>The frame travels across systems because it specifies properties, not instruments. A parliamentary cabinet, a coalition municipality, or a federal agency can each adopt it: fit clocks to indicators; publish dials and their rationales; pair slow confirmations with early proxies; pre-commit review gates; change means when evidence stalls; refuse to meet a fast target by spending a different pillar.</w:t>
      </w:r>
    </w:p>
    <w:p>
      <w:r>
        <w:t>Near-term correction is also a negative definition. It is not comprehensive reform someday; it is not unity that gags receipts; it is not process that cannot meet the clock; it is not charisma that converts work into orbit; it is not dashboard fixes that thin human capacity. Those belong to earlier chapters as causes of delay. This chapter strips those costumes away and leaves three questions that any place can answer now: What are the few dials that matter this season? What clocks fit their physics? What proof will we accept in public?</w:t>
      </w:r>
    </w:p>
    <w:p>
      <w:r>
        <w:t>From here we set the sequence that keeps good things from being used out of order: justice before mercy, truth before unity, proportion before procedure.</w:t>
      </w:r>
    </w:p>
    <w:p>
      <w:pPr>
        <w:pStyle w:val="Heading1"/>
      </w:pPr>
      <w:r>
        <w:t>Page 2 — Order of Operations (What Goes First, Everywhere)</w:t>
      </w:r>
    </w:p>
    <w:p>
      <w:r>
        <w:t>Near-term correction fails most often not for lack of will but for misordered goods. The same virtues that sustain a healthy polity—mercy, unity, procedure—become vices when they are moved ahead of what must precede them under time pressure. The portable sequence is simple:</w:t>
      </w:r>
    </w:p>
    <w:p>
      <w:r>
        <w:t>1) Justice before Mercy</w:t>
        <w:br/>
        <w:t>When harm is ongoing, the first obligation is to stop it proportionally and publicly. Only then can clemency, diversion, or leniency restore rather than erode confidence. Mercy before justice teaches impunity to offenders and despair to the faithful. Mercy after justice teaches order and gives the possibility of return.</w:t>
        <w:br/>
        <w:t>Portable practice: Wherever you are—parliamentary, presidential, municipal—publish the ordering, not a sentencing table: name what constitutes ongoing harm; show the proportionate remedy; specify when and how clemency enters once the harm stops. This preserves discretion while fixing sequence.</w:t>
      </w:r>
    </w:p>
    <w:p>
      <w:r>
        <w:t>2) Truth before Unity</w:t>
        <w:br/>
        <w:t>People can reconcile around facts; they cannot reconcile around euphemism. Calls to “heal” that require silence about the breach are instruments of delay. Put the receipts on the table first—methods, datasets, chain-of-custody—then invite every faction to argue remedies. Unity that gags proof is counterfeit; unity that follows truth can carry cost.</w:t>
        <w:br/>
        <w:t>Portable practice: Make the verification path identical for allies and opponents. If your critics can reproduce your numbers, unity has a floor. If they cannot, unity will be rented and returned when pressure rises.</w:t>
      </w:r>
    </w:p>
    <w:p>
      <w:r>
        <w:t>3) Proportion before Procedure</w:t>
        <w:br/>
        <w:t>Procedure is a tool, not a shrine. Under a clock, any process that cannot reach proportionate outcomes on time yields to one that can—without discarding rights. The question is not “Did we hold enough meetings?” but “Did we halt the compounding loss with due protections intact?”</w:t>
        <w:br/>
        <w:t>Portable practice: Pre-commit review gates (fit to the indicator, not arbitrary) where methods change if dials stall; forbid “emergency by rollover”; require that every interim measure carry a sunset or scale path. Preserve adversarial checks and appeals on a faster cadence, not a slower one.</w:t>
      </w:r>
    </w:p>
    <w:p>
      <w:r>
        <w:t>Anticipating the critique</w:t>
        <w:br/>
        <w:t>Critics will say the order is “harsh” or “simplistic.” It is neither. It is sequencing that keeps virtues from being weaponized for delay. Each element still appears—mercy, unity, process—but after its prerequisite lands. This preserves legitimacy while matching the physics of time.</w:t>
      </w:r>
    </w:p>
    <w:p>
      <w:r>
        <w:t>How this reads on the ground</w:t>
        <w:br/>
        <w:t>• A school board can act against an ongoing breach (justice), publish the evidence (truth), and then welcome broad voices to improve the fix (unity) through an expedited but real process (procedure).</w:t>
        <w:br/>
        <w:t>• A ministry can halt misuse of emergency guidance (justice), disclose datasets and models (truth), convene opponents to refine thresholds (unity), and convert temporary measures into formal rule or lapse on schedule (procedure).</w:t>
        <w:br/>
        <w:t>Rule of use: If a move places mercy before justice, unity before truth, or procedure before proportion, label it as delay—no matter how beautifully it is argued. Next, we choose clocks that fit the thing so these orders have a chance to work.</w:t>
      </w:r>
    </w:p>
    <w:p>
      <w:pPr>
        <w:pStyle w:val="Heading1"/>
      </w:pPr>
      <w:r>
        <w:t>Page 3 — The Clock: Fit the Time to the Thing</w:t>
      </w:r>
    </w:p>
    <w:p>
      <w:r>
        <w:t>Clocks exist to keep courage from drifting and hurry from destroying. They must match the physics of what they measure. Arbitrarily short clocks punish solutions that require upfront capacity; arbitrarily long clocks reward drift disguised as prudence. The standard is fitness, not symmetry.</w:t>
      </w:r>
    </w:p>
    <w:p>
      <w:r>
        <w:t>Set horizons by causal pathways. Some dials can move quickly—case-cycle times, backlog clearance, instruction hours delivered. Others confirm slowly—literacy by grade band, apprenticeship completion, stewardship indices, family formation. Pair every slow confirmation with leading proxies that move early (coverage, adherence, intake, commissioning) and an intermediate metric that shows the path is alive. During a ramp-in—hiring, tooling, training—the dial does not go dark; the public watches build milestones instead.</w:t>
      </w:r>
    </w:p>
    <w:p>
      <w:r>
        <w:t>Critics will say flexible clocks invite excuse-making. The answer is disclosure and gates. Publish the horizon and the rationale for it; declare review points fitted to the indicator; state in advance what counts as sufficient movement at each gate. If the proxies are flat at a gate, change means, not goals. If a clock must be extended, do it once with a written cause, a new horizon, and evidence of progress on the proxies while the confirmation catches up.</w:t>
      </w:r>
    </w:p>
    <w:p>
      <w:r>
        <w:t>Clocks cannot be met by spending a different pillar. Speed gained by degrading formation, language, land, skill, or security is counterfeit. Where a trade is temporarily unavoidable, declare it beforehand, narrow it in time, and audit it afterward in the same forum where it was justified.</w:t>
      </w:r>
    </w:p>
    <w:p>
      <w:r>
        <w:t>This is portable across jurisdictions because it specifies properties, not intervals. A ministry, a cabinet, a city council can each adopt the rule: fit the time to the thing, pair slow dials with early proof, commit to gates, and refuse to hit a fast target by debiting another pillar. When clocks are honest, arguments move from slogans to schedules. Next, we name what qualifies as a dial—public, comparable, and auditable across borders.</w:t>
      </w:r>
    </w:p>
    <w:p>
      <w:pPr>
        <w:pStyle w:val="Heading1"/>
      </w:pPr>
      <w:r>
        <w:t>Page 4 — The Dials: Public, Comparable, Auditable</w:t>
      </w:r>
    </w:p>
    <w:p>
      <w:r>
        <w:t>Near-term correction lives or dies by the few measures a citizen can check without permission. A dial is not a dashboard; it is a small set of counts that (a) track the breach directly, (b) refresh on known cadences, (c) are reproducible by critics, and (d) are comparable across jurisdictions even when programs differ. If a number cannot be independently re-created from public data, it is not a dial—it is advertising.</w:t>
      </w:r>
    </w:p>
    <w:p>
      <w:r>
        <w:t>Choose dials by causal proximity, not by convenience. Count what the remedy actually touches. If the move changes instruction, the dial is instruction delivered and the proficiency it produces by band—paired with leading proxies during ramp. If the move changes case handling, the dial is case-cycle time to disposition by offense class and clearance/resolution—published at precinct or circuit level. If the move changes stewardship, the dial is seasonal soil and water indices at agreed sampling points, not “awareness.”</w:t>
      </w:r>
    </w:p>
    <w:p>
      <w:r>
        <w:t>Keep the set small and legible. More numbers do not mean more truth; they give delay new places to hide. A citizen should be able to name the dials for each pillar in one breath and know when they refresh: monthly for fast-moving services, term or grade-band for instruction, cohort for skill pipelines, seasonal for land, and a posted cadence for public safety.</w:t>
      </w:r>
    </w:p>
    <w:p>
      <w:r>
        <w:t>Make comparability explicit. Different nations, same properties: banded outcomes, unit-level cuts, fixed methods, and unbroken series. If methods must change, disclose it before the refresh and run an overlap period so the series is not laundered. Publish raw tables alongside summaries; let opponents rerun the math. Chain-of-custody should be plain enough that a local newspaper, a civic group, or an opposition party can reproduce the dials without guessing.</w:t>
      </w:r>
    </w:p>
    <w:p>
      <w:r>
        <w:t>Guard against data laundering. No mid-series rebaselining without mark-up; no collapsing of categories to hide outliers; no style edits that rename harm and break continuity. If the public can’t tell what moved and why, trust drains and the framework fails.</w:t>
      </w:r>
    </w:p>
    <w:p>
      <w:r>
        <w:t>Finally, bind dials to decisions. Each dial must have declared gates at which methods change if movement stalls, and declared sunsets when stabilization holds. Dials exist to govern action in time, not to decorate reports. With clocks fitted and dials chosen, the next constraint is the one that keeps gentle options alive everywhere: neutral rails for speech, hosting, and finance.</w:t>
      </w:r>
    </w:p>
    <w:p>
      <w:pPr>
        <w:pStyle w:val="Heading1"/>
      </w:pPr>
      <w:r>
        <w:t>Page 5 — Neutral Rails: Speech, Hosting, Finance</w:t>
      </w:r>
    </w:p>
    <w:p>
      <w:r>
        <w:t>Gentle options die when the rails are partisan. Near-term correction requires neutral rails—not because speech or money are ends in themselves, but because without them truth cannot be cheap and coordination cannot be lawful. We specify properties, not brands or statutes, so this travels across jurisdictions.</w:t>
      </w:r>
    </w:p>
    <w:p>
      <w:r>
        <w:t>Published standards. Terms of use and enforcement criteria are public, finite, and written in language a citizen can parse. Secret rules are bans by other means.</w:t>
      </w:r>
    </w:p>
    <w:p>
      <w:r>
        <w:t>Documented actions. When reach is limited, accounts suspended, funds frozen, or services denied, the action is logged with a timestamped notice and a stated basis tied to the published standard.</w:t>
      </w:r>
    </w:p>
    <w:p>
      <w:r>
        <w:t>Fast appeals with remedies. Appeals run on clocks that match the harm (days, not months), handled by a body that can reverse actions and make whole—restoring reach, funds, or service where a mistake is found.</w:t>
      </w:r>
    </w:p>
    <w:p>
      <w:r>
        <w:t>Independent review with teeth. A third party—ombuds, regulator, court, auditor—can sample decisions, publish findings, and order correction. Reviews are not advisory; they travel with power to reverse.</w:t>
      </w:r>
    </w:p>
    <w:p>
      <w:r>
        <w:t>No reputational off-boarding without adjudicated cause. “Risk” cannot be a synonym for dissent. Where safety exceptions exist, they are narrow, temporary, and reviewable.</w:t>
      </w:r>
    </w:p>
    <w:p>
      <w:r>
        <w:t>Portability and redundancy. Users can export data, subscriber lists, and payments metadata in standard formats; providers must offer basic interoperability or explain why not. This prevents single points of failure from becoming political chokepoints.</w:t>
      </w:r>
    </w:p>
    <w:p>
      <w:r>
        <w:t>Non-discrimination by category. Infrastructure functions—domain, hosting, transport, payments—are treated as conduit, not publisher. Edge services may curate, but the pipes that carry lawful activity remain indifferent to viewpoint.</w:t>
      </w:r>
    </w:p>
    <w:p>
      <w:r>
        <w:t>Audit trails. Logs that show policy changes, enforcement volumes, and reversal rates are published on a cadence. Bad patterns become visible; good patterns become trust.</w:t>
      </w:r>
    </w:p>
    <w:p>
      <w:r>
        <w:t>These properties are compatible with different legal families. A ministry can enforce them by guidance and audit; a regulator by rulemaking; a platform or bank by self-regulation under public scrutiny. The aim is not to freeze norms but to keep rails predictable, reversible, and provably fair so early remedies—speech, assembly, coordination, fundraising—can work.</w:t>
      </w:r>
    </w:p>
    <w:p>
      <w:r>
        <w:t>With rails neutral, we still must guard the framework from the three predictable failures that devour correction: managerial digestion, charismatic capture, and security absorption. Next, we set a minimal anti-capture architecture that fits any system.</w:t>
      </w:r>
    </w:p>
    <w:p>
      <w:pPr>
        <w:pStyle w:val="Heading1"/>
      </w:pPr>
      <w:r>
        <w:t>Page 6 — Anti-Capture Architecture: Managerial, Charismatic, Security</w:t>
      </w:r>
    </w:p>
    <w:p>
      <w:r>
        <w:t>Correction fails in three familiar ways: it gets digested by management, harvested by personalities, or absorbed by security. The antidote is structural and portable—rules about how work is organized, not who holds the microphone.</w:t>
      </w:r>
    </w:p>
    <w:p>
      <w:r>
        <w:t>1) Managerial digestion (process over repair).</w:t>
        <w:br/>
        <w:t>Failure mode: committees, pilots, and “interim guidance” that never end.</w:t>
        <w:br/>
        <w:t>Guards:</w:t>
        <w:br/>
        <w:t>• Sunset + scale path: Every temporary measure carries both an end date and the conditions for becoming ordinary practice. No open-ended pilots.</w:t>
        <w:br/>
        <w:t>• Movement quorum: Meetings cannot substitute for movement; each cycle must close with a dial update tied to the work discussed.</w:t>
        <w:br/>
        <w:t>• Scope cordon: Protect the few dials that matter from scope creep; new stakeholders may advise, not veto, unless they own a dial.</w:t>
      </w:r>
    </w:p>
    <w:p>
      <w:r>
        <w:t>2) Charismatic harvest (orbit over delivery).</w:t>
        <w:br/>
        <w:t>Failure mode: one figure centralizes attention, money, and credit; the work becomes a brand.</w:t>
        <w:br/>
        <w:t>Guards:</w:t>
        <w:br/>
        <w:t>• Distributed authorship: Declare multiple accountable owners per dial (institutional + civic). If one departs, delivery continues.</w:t>
        <w:br/>
        <w:t>• Finance daylight: Pooled funds report inflows/outflows on a cadence; no discretionary slush tied to a personality.</w:t>
        <w:br/>
        <w:t>• Succession pre-wired: Bench roles and handoff protocols are published; appearances never outrank implementation calendars.</w:t>
      </w:r>
    </w:p>
    <w:p>
      <w:r>
        <w:t>3) Security absorption (process weapons).</w:t>
        <w:br/>
        <w:t>Failure mode: lawful participation encircled by investigations, permits, insurance, or throttled rails.</w:t>
        <w:br/>
        <w:t>Guards:</w:t>
        <w:br/>
        <w:t>• Proportion clocks: Investigations, permit reviews, and compliance checks run on fixed, short timelines with automatic escalation to an independent reviewer when clocks expire.</w:t>
        <w:br/>
        <w:t>• Emergency cannot roll over: Exceptional authorities auto-lapse unless re-adopted through the ordinary channel with a public dial showing necessity.</w:t>
        <w:br/>
        <w:t>• Targetable standards: Clear, content-neutral criteria for restrictions; logs are auditable; reversals make whole.</w:t>
      </w:r>
    </w:p>
    <w:p>
      <w:r>
        <w:t>Cross-cutting failsafe: Kill-switch on stagnation. If a dial misses two consecutive review gates without credible movement in its proxies, the current design sunsets by rule and must be re-chartered with different means. This prevents both managerial drift and charismatic excuses.</w:t>
      </w:r>
    </w:p>
    <w:p>
      <w:r>
        <w:t>These are small levers that travel across systems because they specify how to stay honest under time. With capture constrained, we can align incentives: who pays the near-term cost, and how we forbid “fast wins” that spend a pillar.</w:t>
      </w:r>
    </w:p>
    <w:p>
      <w:pPr>
        <w:pStyle w:val="Heading1"/>
      </w:pPr>
      <w:r>
        <w:t>Page 7 — Cost Bearing &amp; the Non-Trade Principle</w:t>
      </w:r>
    </w:p>
    <w:p>
      <w:r>
        <w:t>Correction collapses when its costs are hidden or exported to bystanders. To keep sanction, costs must be owned by the actors who can move the dial, and no pillar may be “spent” to post a quick number elsewhere. This is not austerity; it is alignment.</w:t>
      </w:r>
    </w:p>
    <w:p>
      <w:r>
        <w:t>Own the near-term cost. If a ministry, city, board, guild, or platform has authority over a dial, it shoulders the first cuts to fund movement—reducing optics, not operations. Leaders who ask families, trades, or neighborhoods to pay first while their own budgets remain symbolic lose the right to lead the change. The public reads this instantly.</w:t>
      </w:r>
    </w:p>
    <w:p>
      <w:r>
        <w:t>Declare trade-offs before they bite. Some choices impose friction—calendar changes, staffing reassignments, procurement delays, temporary limits. State them in advance, bound them in time, and attach them to the dial they serve. Hidden trade-offs breed cynicism; declared ones earn credit if the dial moves on schedule.</w:t>
      </w:r>
    </w:p>
    <w:p>
      <w:r>
        <w:t>Forbid pillar-spend “wins.” No safety by sacrificing due process; no growth by thinning skill; no “harmony” by laundering language; no stewardship by destroying livelihoods; no formation by neglecting protection. Where a temporary spend is unavoidable, publish its guardrails and the date by which it must be repaid—and audit the payback in the same venue where it was justified.</w:t>
      </w:r>
    </w:p>
    <w:p>
      <w:r>
        <w:t>Price delay, not just action. Post the cost of inaction beside every plan—the cohorts missed, the cases that will not close, the season that cannot be recovered, the dependency that deepens. When the bill for drift is visible, urgency becomes common sense rather than a partisan demand.</w:t>
      </w:r>
    </w:p>
    <w:p>
      <w:r>
        <w:t>Distribute authorship, not blame. Each dial lists an institutional owner and a civic co-owner (parent group, guild, stewardship council, victim advocate). Ownership comes with responsibilities: monthly disclosure, presence at review gates, and the duty to recommend means changes when proxies stall. Co-owners keep the work from shrinking into brand or file.</w:t>
      </w:r>
    </w:p>
    <w:p>
      <w:r>
        <w:t>Consequences for non-movement. If a dial misses two review gates without credible proxy motion, the existing plan sunsets by rule and a replacement charter must be issued—new means, same goal. No one keeps the microphone for delivering drift.</w:t>
      </w:r>
    </w:p>
    <w:p>
      <w:r>
        <w:t>This ethic travels because it governs who pays and how we keep faith without dictating programs. With costs aligned and trades bounded, the last ingredient is culture: make truth inexpensive and routine so arguments return to receipts, not rhetoric. Page 8 — Verification Culture (Receipts Over Rhetoric) sets that norm.</w:t>
      </w:r>
    </w:p>
    <w:p>
      <w:pPr>
        <w:pStyle w:val="Heading1"/>
      </w:pPr>
      <w:r>
        <w:t>Page 8 — Verification Culture (Receipts Over Rhetoric)</w:t>
      </w:r>
    </w:p>
    <w:p>
      <w:r>
        <w:t>Correction stalls when truth is expensive. It moves when proof is ordinary—visible without permission, reproducible without favors, and refreshed on clocks that match the harm. Verification culture is not a data dump; it is the habit of making evidence cheap and argument disciplined.</w:t>
      </w:r>
    </w:p>
    <w:p>
      <w:r>
        <w:t>Plain counts, public pipes. Publish the dials and their source tables where any citizen, newspaper, or opposition caucus can fetch them without a login. Methods are posted beside numbers: sampling points, definitions, exclusions. If a dataset cannot be reproduced outside the building, it is not admissible to claim progress.</w:t>
      </w:r>
    </w:p>
    <w:p>
      <w:r>
        <w:t>No laundering the series. Mid-stream rebasing, renaming categories, or collapsing outliers without mark-up turns statistics into narrative. When methods must change, declare it in advance, run overlap periods, and retain the original series for comparison. This makes improvement credible and manipulation costly.</w:t>
      </w:r>
    </w:p>
    <w:p>
      <w:r>
        <w:t>Chain-of-custody you can see. For contested measures—security, stewardship, instruction—log who touched the data and when. Hash files, publish checksums, and allow third parties to verify the chain. The technical step is small; the trust dividend is large.</w:t>
      </w:r>
    </w:p>
    <w:p>
      <w:r>
        <w:t>Rhythms that fit the thing. Fast services report monthly (or faster); instruction by term or grade band; skill by cohort intake→completion; stewardship by season; justice by case-cycle time and resolution bands. Misses are reported in the same venue as promises. Extensions come with cause, new horizon, and proxy movement that bridges the wait.</w:t>
      </w:r>
    </w:p>
    <w:p>
      <w:r>
        <w:t>Right of replication. Independent auditors, civic groups, and critics have the right to rerun the numbers and publish results. Where they find error, the correction is made public and retroactively annotated in the series. Victory is movement, not the appearance of infallibility.</w:t>
      </w:r>
    </w:p>
    <w:p>
      <w:r>
        <w:t>Receipts in speech. Leaders talk from the dials—what moved, what didn’t, what changes at the next review gate. Surrogates are discouraged from spinning; they cite the same tables the opposition can check. Over time, tone cools because evidence is easy.</w:t>
      </w:r>
    </w:p>
    <w:p>
      <w:r>
        <w:t>Disputes move to method. When proof is cheap, arguments shift from motives to designs: sampling, gating, proxies, horizons. That is healthy. It lets coalitions form around fixes rather than brands.</w:t>
      </w:r>
    </w:p>
    <w:p>
      <w:r>
        <w:t>Verification culture travels because it specifies properties, not politics: open pipes, durable series, visible chains, fitted cadences, replication rights. With clocks fitted, dials chosen, rails neutral, capture guarded, costs owned, and proof made cheap, near-term correction can mature into norm. Next we set the handoffs and sunsets that keep correction from becoming a permanent campaign.</w:t>
      </w:r>
    </w:p>
    <w:p>
      <w:pPr>
        <w:pStyle w:val="Heading1"/>
      </w:pPr>
      <w:r>
        <w:t>Page 9 — Handoffs &amp; Sunsets (So Correction Becomes Norm)</w:t>
      </w:r>
    </w:p>
    <w:p>
      <w:r>
        <w:t>Correction is a season, not a lifestyle. If it does not hand off, it curdles into brand or bureaucracy and loses sanction. The aim is to convert what works into ordinary practice and retire what doesn’t—without dropping the dials.</w:t>
      </w:r>
    </w:p>
    <w:p>
      <w:r>
        <w:t>Exit ramps by design. Every corrective effort declares, at launch, (a) the dial it intends to move, (b) the horizon and gates, (c) the ordinary venue that will inherit the work if it holds (school, court, ministry, guild, municipality), and (d) the artifacts to transfer (datasets, methods, tooling, training). Handoffs are logistics, not ceremonies.</w:t>
      </w:r>
    </w:p>
    <w:p>
      <w:r>
        <w:t>Two-cycle rule. If a dial misses two consecutive review gates without credible movement in its proxies, the charter sunsets automatically. The goal remains; the means are retired. Replacement charters must propose different methods and submit to the same clocks.</w:t>
      </w:r>
    </w:p>
    <w:p>
      <w:r>
        <w:t>Stabilization test. If a dial meets its horizon three consecutive refreshes, the program transitions to maintenance: lower cadence, lighter reporting, same public pipes. Sunsets are real; victories are not excuses to expand scope.</w:t>
      </w:r>
    </w:p>
    <w:p>
      <w:r>
        <w:t>No ownership of the current. No office, party, or personality may brand the corrective framework. Logos and slogans stay off the dials. Delivery belongs to the public record; authorship is distributed (institutional owner + civic co-owner). When the work becomes routine, the names recede and the measures remain.</w:t>
      </w:r>
    </w:p>
    <w:p>
      <w:r>
        <w:t>Keep receipts through the handoff. The dataset persists across the transition; definitions do not silently change; overlap reporting demonstrates that ordinary practice can carry the load. If the inheriting venue starts to drift, the same framework reactivates without relitigating its legitimacy.</w:t>
      </w:r>
    </w:p>
    <w:p>
      <w:r>
        <w:t>Sunset the exceptional. Emergency authorities lapse on schedule or are formalized through the ordinary channel with the same dials as justification. “Interim guidance” either becomes rule or disappears; rollovers are not allowed to define policy by habit.</w:t>
      </w:r>
    </w:p>
    <w:p>
      <w:r>
        <w:t>This page travels because it governs time and transfer, not ideology: design exits, reward movement, retire failure, keep the series intact. With handoffs and sunsets fixed, the chapter closes with a single page in the tribunal motif—the reader sits in judgment over Chapters 1–9 and carries the verdict into renewal.</w:t>
      </w:r>
    </w:p>
    <w:p>
      <w:pPr>
        <w:pStyle w:val="Heading1"/>
      </w:pPr>
      <w:r>
        <w:t>Page 10 — Closing: You Sit in Judgment (Tribunal Motif)</w:t>
      </w:r>
    </w:p>
    <w:p>
      <w:r>
        <w:t>You have the record. Chapters 1–8 established the breach and named the failures that protect it. This chapter gave you a frame that travels: fit clocks to the thing; choose dials that the opposition can reproduce; keep rails neutral so gentle options work; guard against capture; make the mover bear the cost; forbid trades that spend a pillar; keep proof cheap; hand off what holds and sunset what doesn’t.</w:t>
      </w:r>
    </w:p>
    <w:p>
      <w:r>
        <w:t>As juror, your charge is simple:</w:t>
      </w:r>
    </w:p>
    <w:p>
      <w:r>
        <w:t>Finding of fact. Do the places that ask for your assent meet the standard? Are there clocks fitted to indicators, dials you can check without permission, neutral rails, guards against capture, declared costs, and receipts refreshed on time? If the answer is no, the plea for patience is inadmissible.</w:t>
      </w:r>
    </w:p>
    <w:p>
      <w:r>
        <w:t>Instruction on law. Mercy before justice, unity before truth, procedure before proportion—these are misorders under time pressure. They are arguments for drift. Where you detect them, you withhold sanction until sequence is restored.</w:t>
      </w:r>
    </w:p>
    <w:p>
      <w:r>
        <w:t>Verdict. Withdraw assent from actors who spend a pillar to claim another, who move goalposts mid-series, who brand the current, or who hide decisions behind unpublished standards. Lend sanction—provisionally—to those who accept clocks, dials, rails, guards, costs, and receipts in public, and who submit to gates that change means when movement stalls.</w:t>
      </w:r>
    </w:p>
    <w:p>
      <w:r>
        <w:t>Decree. Correction proceeds on clocks. Programs that move dials hand off to ordinary practice; programs that stall sunset by rule. Speech, hosting, and finance remain neutral enough that early remedies work; audits remain live; succession is a plan, not a hope. The current is not owned; it is served until it can safely recede.</w:t>
      </w:r>
    </w:p>
    <w:p>
      <w:r>
        <w:t>This verdict does not promise renewal. It clears the ground for it. With clocks honest, dials few, rails steady, and hands accountable, a people can move from arresting loss to building again. The next chapter begins that turn: not with slogans, but with the first architecture of renewal laid on the same receipts that brought us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