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74d9003a0e74a2696fcf2de6078a2f2a826bc9"/>
    <w:p>
      <w:pPr>
        <w:pStyle w:val="Heading1"/>
      </w:pPr>
      <w:r>
        <w:t xml:space="preserve">Rhetorical &amp; Persuasive Strategy Review — Chapter 10:</w:t>
      </w:r>
      <w:r>
        <w:t xml:space="preserve"> </w:t>
      </w:r>
      <w:r>
        <w:rPr>
          <w:i/>
          <w:iCs/>
        </w:rPr>
        <w:t xml:space="preserve">Sovereignty Reclaimed</w:t>
      </w:r>
    </w:p>
    <w:p>
      <w:r>
        <w:pict>
          <v:rect style="width:0;height:1.5pt" o:hralign="center" o:hrstd="t" o:hr="t"/>
        </w:pict>
      </w:r>
    </w:p>
    <w:bookmarkStart w:id="20" w:name="X9e1cccb08657790b2d0eff7f58343a11630357d"/>
    <w:p>
      <w:pPr>
        <w:pStyle w:val="Heading2"/>
      </w:pPr>
      <w:r>
        <w:t xml:space="preserve">Page 1 – Opening Declaration: Freedom Requires Sovereignty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architect of renewal, moral authority clear.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indignation at subjugation, hope in reclamation.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sovereignty asserted as prerequisite but needs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resonance by showing daily-life effects of sovereignty (food, borders, money). Pathos heightened by contrast between client vs. sovereign nation. Logos reinforced by historical parallels.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national-sovereignty"/>
    <w:p>
      <w:pPr>
        <w:pStyle w:val="Heading2"/>
      </w:pPr>
      <w:r>
        <w:t xml:space="preserve">Page 2 – National Sovereignty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guardian of statehood.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anger at betrayal of borders, loyalty.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underdeveloped.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cases (border failures, monetary manipulation). Pathos sharpened by betrayal imagery. Logos reinforced with examples (NAFTA, EU). Ethos strengthened by naming responsible institutions.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industrial-sovereignty"/>
    <w:p>
      <w:pPr>
        <w:pStyle w:val="Heading2"/>
      </w:pPr>
      <w:r>
        <w:t xml:space="preserve">Page 3 – Industrial Sovereignty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strategist of economy.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frustration at dependency, pride in industry.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abundance linked to sovereignty but could use more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cases (TSMC chokepoint, energy dependence). Pathos sharpened by imagery of lifelines throttled. Logos reinforced by contrasting false choices (oil vs. renewables vs. fission). Ethos strengthened by technical detail.</w:t>
      </w:r>
    </w:p>
    <w:p>
      <w:r>
        <w:pict>
          <v:rect style="width:0;height:1.5pt" o:hralign="center" o:hrstd="t" o:hr="t"/>
        </w:pict>
      </w:r>
    </w:p>
    <w:bookmarkEnd w:id="22"/>
    <w:bookmarkStart w:id="23" w:name="page-4-cultural-sovereignty"/>
    <w:p>
      <w:pPr>
        <w:pStyle w:val="Heading2"/>
      </w:pPr>
      <w:r>
        <w:t xml:space="preserve">Page 4 – Cultural Sovereignty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cultural guardian.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grief at desecration, hope in restoration.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claims persuasive but examples thin.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cases (monuments toppled, curricula rewritten). Pathos deepened by imagery of desecrated symbols. Logos reinforced with historical echoes of cultural continuity. Ethos bolstered by showing preservation as moral duty.</w:t>
      </w:r>
    </w:p>
    <w:p>
      <w:r>
        <w:pict>
          <v:rect style="width:0;height:1.5pt" o:hralign="center" o:hrstd="t" o:hr="t"/>
        </w:pict>
      </w:r>
    </w:p>
    <w:bookmarkEnd w:id="23"/>
    <w:bookmarkStart w:id="24" w:name="page-5-collapse-by-dependency"/>
    <w:p>
      <w:pPr>
        <w:pStyle w:val="Heading2"/>
      </w:pPr>
      <w:r>
        <w:t xml:space="preserve">Page 5 – Collapse by Dependency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systemic analyst.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indignation at sovereignty traded away.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underdeveloped.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(medical imports, rare earth dependency). Pathos sharpened by imagery of silent conquest. Logos reinforced by case detail. Ethos strengthened by naming systemic architects.</w:t>
      </w:r>
    </w:p>
    <w:p>
      <w:r>
        <w:pict>
          <v:rect style="width:0;height:1.5pt" o:hralign="center" o:hrstd="t" o:hr="t"/>
        </w:pict>
      </w:r>
    </w:p>
    <w:bookmarkEnd w:id="24"/>
    <w:bookmarkStart w:id="25" w:name="page-6-blueprint-for-restoration"/>
    <w:p>
      <w:pPr>
        <w:pStyle w:val="Heading2"/>
      </w:pPr>
      <w:r>
        <w:t xml:space="preserve">Page 6 – Blueprint for Restoration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architect of future order.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less emotive, more prescriptive.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Solid — blueprint persuasive but risks checklist tone.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rhetorical rhythm (</w:t>
      </w:r>
      <w:r>
        <w:t xml:space="preserve">“energy must be… culture must be…”</w:t>
      </w:r>
      <w:r>
        <w:t xml:space="preserve">). Use vivid imagery (welders, reactors, libraries). Pathos heightened by reader resonance. Logos reinforced by showing feasibility of restoration.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call"/>
    <w:p>
      <w:pPr>
        <w:pStyle w:val="Heading2"/>
      </w:pPr>
      <w:r>
        <w:t xml:space="preserve">Page 7 – Closing Call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herald, ultimatum voice.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urgency, pride, determination.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sovereignty vs. subjugation stark but asserted.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Echo tribunal imagery from Ch. 1 (</w:t>
      </w:r>
      <w:r>
        <w:t xml:space="preserve">“the gavel falls again here”</w:t>
      </w:r>
      <w:r>
        <w:t xml:space="preserve">). Add contrast imagery (flag waved vs. hollow liberty). Pathos heightened by triumphal note. Logos reinforced by linking sovereignty directly to survival.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alternates as guardian, strategist, cultural custodian, architect, herald. Needs reinforcement with cases.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Very effective — anger, grief, hope, urgency woven consistently.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needs more historical, technical, and economic anchors.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Ground abstract sovereignty claims in vivid examples and contrasts. Sharpen rhetorical rhythm and close with ultimatum crescendo.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2025-09-25T23:20:28Z</dcterms:created>
  <dcterms:modified xsi:type="dcterms:W3CDTF">2025-09-25T23:20:28Z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