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8db6e2012e696a108d9a4c138b84176f71eb23"/>
    <w:p>
      <w:pPr>
        <w:pStyle w:val="Heading1"/>
      </w:pPr>
      <w:r>
        <w:t xml:space="preserve">Master Condensed Analysis — Continuity &amp; Thematic Coherence</w:t>
      </w:r>
    </w:p>
    <w:p>
      <w:r>
        <w:pict>
          <v:rect style="width:0;height:1.5pt" o:hralign="center" o:hrstd="t" o:hr="t"/>
        </w:pict>
      </w:r>
    </w:p>
    <w:bookmarkStart w:id="20" w:name="part-i-collapse-named-ch.-13"/>
    <w:p>
      <w:pPr>
        <w:pStyle w:val="Heading2"/>
      </w:pPr>
      <w:r>
        <w:t xml:space="preserve">Part I: Collapse Named (Ch. 1–3)</w:t>
      </w:r>
    </w:p>
    <w:p>
      <w:pPr>
        <w:pStyle w:val="Compact"/>
        <w:numPr>
          <w:ilvl w:val="0"/>
          <w:numId w:val="1001"/>
        </w:numPr>
      </w:pPr>
      <w:r>
        <w:rPr>
          <w:b/>
          <w:bCs/>
        </w:rPr>
        <w:t xml:space="preserve">Continuity Strengths:</w:t>
      </w:r>
      <w:r>
        <w:t xml:space="preserve"> </w:t>
      </w:r>
      <w:r>
        <w:t xml:space="preserve">Tribunal framing unifies chapters; betrayal theme consistent.</w:t>
      </w:r>
    </w:p>
    <w:p>
      <w:pPr>
        <w:pStyle w:val="Compact"/>
        <w:numPr>
          <w:ilvl w:val="0"/>
          <w:numId w:val="1001"/>
        </w:numPr>
      </w:pPr>
      <w:r>
        <w:rPr>
          <w:b/>
          <w:bCs/>
        </w:rPr>
        <w:t xml:space="preserve">Weaknesses:</w:t>
      </w:r>
      <w:r>
        <w:t xml:space="preserve"> </w:t>
      </w:r>
      <w:r>
        <w:t xml:space="preserve">Some repetition (peace/prosperity/progress overlap). Needs sharper bridges.</w:t>
      </w:r>
    </w:p>
    <w:p>
      <w:pPr>
        <w:pStyle w:val="Compact"/>
        <w:numPr>
          <w:ilvl w:val="0"/>
          <w:numId w:val="1001"/>
        </w:numPr>
      </w:pPr>
      <w:r>
        <w:rPr>
          <w:b/>
          <w:bCs/>
        </w:rPr>
        <w:t xml:space="preserve">Coherence Strategy:</w:t>
      </w:r>
      <w:r>
        <w:t xml:space="preserve"> </w:t>
      </w:r>
      <w:r>
        <w:t xml:space="preserve">Use tribunal metaphor as connective tissue; ensure each alibi of decline leads directly into machinery of capture.</w:t>
      </w:r>
    </w:p>
    <w:bookmarkEnd w:id="20"/>
    <w:bookmarkStart w:id="21" w:name="part-ii-machinery-of-capture-ch.-45"/>
    <w:p>
      <w:pPr>
        <w:pStyle w:val="Heading2"/>
      </w:pPr>
      <w:r>
        <w:t xml:space="preserve">Part II: Machinery of Capture (Ch. 4–5)</w:t>
      </w:r>
    </w:p>
    <w:p>
      <w:pPr>
        <w:pStyle w:val="Compact"/>
        <w:numPr>
          <w:ilvl w:val="0"/>
          <w:numId w:val="1002"/>
        </w:numPr>
      </w:pPr>
      <w:r>
        <w:rPr>
          <w:b/>
          <w:bCs/>
        </w:rPr>
        <w:t xml:space="preserve">Continuity Strengths:</w:t>
      </w:r>
      <w:r>
        <w:t xml:space="preserve"> </w:t>
      </w:r>
      <w:r>
        <w:t xml:space="preserve">Strong conceptual unity (inversion + conditioning).</w:t>
      </w:r>
    </w:p>
    <w:p>
      <w:pPr>
        <w:pStyle w:val="Compact"/>
        <w:numPr>
          <w:ilvl w:val="0"/>
          <w:numId w:val="1002"/>
        </w:numPr>
      </w:pPr>
      <w:r>
        <w:rPr>
          <w:b/>
          <w:bCs/>
        </w:rPr>
        <w:t xml:space="preserve">Weaknesses:</w:t>
      </w:r>
      <w:r>
        <w:t xml:space="preserve"> </w:t>
      </w:r>
      <w:r>
        <w:t xml:space="preserve">Risk of abstraction; less connected to everyday life.</w:t>
      </w:r>
    </w:p>
    <w:p>
      <w:pPr>
        <w:pStyle w:val="Compact"/>
        <w:numPr>
          <w:ilvl w:val="0"/>
          <w:numId w:val="1002"/>
        </w:numPr>
      </w:pPr>
      <w:r>
        <w:rPr>
          <w:b/>
          <w:bCs/>
        </w:rPr>
        <w:t xml:space="preserve">Coherence Strategy:</w:t>
      </w:r>
      <w:r>
        <w:t xml:space="preserve"> </w:t>
      </w:r>
      <w:r>
        <w:t xml:space="preserve">Show how inversion (Ch. 4) sets stage for conditioning (Ch. 5). Use imagery of immune system degraded, then exploited.</w:t>
      </w:r>
    </w:p>
    <w:bookmarkEnd w:id="21"/>
    <w:bookmarkStart w:id="22" w:name="X0fc826e2ab43e8b7573dd8c72fab590f1b85aa0"/>
    <w:p>
      <w:pPr>
        <w:pStyle w:val="Heading2"/>
      </w:pPr>
      <w:r>
        <w:t xml:space="preserve">Part III: The Reckoning and the Call (Ch. 6–9)</w:t>
      </w:r>
    </w:p>
    <w:p>
      <w:pPr>
        <w:pStyle w:val="Compact"/>
        <w:numPr>
          <w:ilvl w:val="0"/>
          <w:numId w:val="1003"/>
        </w:numPr>
      </w:pPr>
      <w:r>
        <w:rPr>
          <w:b/>
          <w:bCs/>
        </w:rPr>
        <w:t xml:space="preserve">Continuity Strengths:</w:t>
      </w:r>
      <w:r>
        <w:t xml:space="preserve"> </w:t>
      </w:r>
      <w:r>
        <w:t xml:space="preserve">Clear escalation: ledger → Vanguard → correction → hesitation.</w:t>
      </w:r>
    </w:p>
    <w:p>
      <w:pPr>
        <w:pStyle w:val="Compact"/>
        <w:numPr>
          <w:ilvl w:val="0"/>
          <w:numId w:val="1003"/>
        </w:numPr>
      </w:pPr>
      <w:r>
        <w:rPr>
          <w:b/>
          <w:bCs/>
        </w:rPr>
        <w:t xml:space="preserve">Weaknesses:</w:t>
      </w:r>
      <w:r>
        <w:t xml:space="preserve"> </w:t>
      </w:r>
      <w:r>
        <w:t xml:space="preserve">Chapters risk list-like feel; hesitation overlaps with correction.</w:t>
      </w:r>
    </w:p>
    <w:p>
      <w:pPr>
        <w:pStyle w:val="Compact"/>
        <w:numPr>
          <w:ilvl w:val="0"/>
          <w:numId w:val="1003"/>
        </w:numPr>
      </w:pPr>
      <w:r>
        <w:rPr>
          <w:b/>
          <w:bCs/>
        </w:rPr>
        <w:t xml:space="preserve">Coherence Strategy:</w:t>
      </w:r>
      <w:r>
        <w:t xml:space="preserve"> </w:t>
      </w:r>
      <w:r>
        <w:t xml:space="preserve">Ensure betrayals (Ch. 6) flow into necessity of Vanguard (Ch. 7). Show correction (Ch. 8) as structured response. Cast hesitation (Ch. 9) as psychological counterpoint.</w:t>
      </w:r>
    </w:p>
    <w:bookmarkEnd w:id="22"/>
    <w:bookmarkStart w:id="23" w:name="part-iv-path-of-renewal-ch.-1012"/>
    <w:p>
      <w:pPr>
        <w:pStyle w:val="Heading2"/>
      </w:pPr>
      <w:r>
        <w:t xml:space="preserve">Part IV: Path of Renewal (Ch. 10–12)</w:t>
      </w:r>
    </w:p>
    <w:p>
      <w:pPr>
        <w:pStyle w:val="Compact"/>
        <w:numPr>
          <w:ilvl w:val="0"/>
          <w:numId w:val="1004"/>
        </w:numPr>
      </w:pPr>
      <w:r>
        <w:rPr>
          <w:b/>
          <w:bCs/>
        </w:rPr>
        <w:t xml:space="preserve">Continuity Strengths:</w:t>
      </w:r>
      <w:r>
        <w:t xml:space="preserve"> </w:t>
      </w:r>
      <w:r>
        <w:t xml:space="preserve">Strong arc from sovereignty → renewal → confederation.</w:t>
      </w:r>
    </w:p>
    <w:p>
      <w:pPr>
        <w:pStyle w:val="Compact"/>
        <w:numPr>
          <w:ilvl w:val="0"/>
          <w:numId w:val="1004"/>
        </w:numPr>
      </w:pPr>
      <w:r>
        <w:rPr>
          <w:b/>
          <w:bCs/>
        </w:rPr>
        <w:t xml:space="preserve">Weaknesses:</w:t>
      </w:r>
      <w:r>
        <w:t xml:space="preserve"> </w:t>
      </w:r>
      <w:r>
        <w:t xml:space="preserve">Sections can feel modular; need smoother emotional flow.</w:t>
      </w:r>
    </w:p>
    <w:p>
      <w:pPr>
        <w:pStyle w:val="Compact"/>
        <w:numPr>
          <w:ilvl w:val="0"/>
          <w:numId w:val="1004"/>
        </w:numPr>
      </w:pPr>
      <w:r>
        <w:rPr>
          <w:b/>
          <w:bCs/>
        </w:rPr>
        <w:t xml:space="preserve">Coherence Strategy:</w:t>
      </w:r>
      <w:r>
        <w:t xml:space="preserve"> </w:t>
      </w:r>
      <w:r>
        <w:t xml:space="preserve">Frame renewal (Ch. 11) as flowering of sovereignty (Ch. 10). Confederation (Ch. 12) framed as institutionalization of renewal. Use inheritance imagery as through-line.</w:t>
      </w:r>
    </w:p>
    <w:bookmarkEnd w:id="23"/>
    <w:bookmarkStart w:id="24" w:name="part-v-expansion-and-permanence-ch.-1318"/>
    <w:p>
      <w:pPr>
        <w:pStyle w:val="Heading2"/>
      </w:pPr>
      <w:r>
        <w:t xml:space="preserve">Part V: Expansion and Permanence (Ch. 13–18)</w:t>
      </w:r>
    </w:p>
    <w:p>
      <w:pPr>
        <w:pStyle w:val="Compact"/>
        <w:numPr>
          <w:ilvl w:val="0"/>
          <w:numId w:val="1005"/>
        </w:numPr>
      </w:pPr>
      <w:r>
        <w:rPr>
          <w:b/>
          <w:bCs/>
        </w:rPr>
        <w:t xml:space="preserve">Continuity Strengths:</w:t>
      </w:r>
      <w:r>
        <w:t xml:space="preserve"> </w:t>
      </w:r>
      <w:r>
        <w:t xml:space="preserve">Expansive vision consistent; scale escalates logically.</w:t>
      </w:r>
    </w:p>
    <w:p>
      <w:pPr>
        <w:pStyle w:val="Compact"/>
        <w:numPr>
          <w:ilvl w:val="0"/>
          <w:numId w:val="1005"/>
        </w:numPr>
      </w:pPr>
      <w:r>
        <w:rPr>
          <w:b/>
          <w:bCs/>
        </w:rPr>
        <w:t xml:space="preserve">Weaknesses:</w:t>
      </w:r>
      <w:r>
        <w:t xml:space="preserve"> </w:t>
      </w:r>
      <w:r>
        <w:t xml:space="preserve">Risk of thematic drift (technical vs. cultural vs. rivalry).</w:t>
      </w:r>
    </w:p>
    <w:p>
      <w:pPr>
        <w:pStyle w:val="Compact"/>
        <w:numPr>
          <w:ilvl w:val="0"/>
          <w:numId w:val="1005"/>
        </w:numPr>
      </w:pPr>
      <w:r>
        <w:rPr>
          <w:b/>
          <w:bCs/>
        </w:rPr>
        <w:t xml:space="preserve">Coherence Strategy:</w:t>
      </w:r>
      <w:r>
        <w:t xml:space="preserve"> </w:t>
      </w:r>
      <w:r>
        <w:t xml:space="preserve">Ensure renaissance (Ch. 13) anchors abundance. Confederation under abundance (Ch. 14) links to sovereignty extended (Ch. 15). Dyson Horizon (Ch. 16) sets backdrop for rivals (Ch. 17). Permanence (Ch. 18) closes circle with tribunal echo from Part I.</w:t>
      </w:r>
    </w:p>
    <w:p>
      <w:r>
        <w:pict>
          <v:rect style="width:0;height:1.5pt" o:hralign="center" o:hrstd="t" o:hr="t"/>
        </w:pict>
      </w:r>
    </w:p>
    <w:bookmarkEnd w:id="24"/>
    <w:bookmarkStart w:id="25" w:name="master-strategy-for-continuity-coherence"/>
    <w:p>
      <w:pPr>
        <w:pStyle w:val="Heading2"/>
      </w:pPr>
      <w:r>
        <w:t xml:space="preserve">Master Strategy for Continuity &amp; Coherence</w:t>
      </w:r>
    </w:p>
    <w:p>
      <w:pPr>
        <w:pStyle w:val="Compact"/>
        <w:numPr>
          <w:ilvl w:val="0"/>
          <w:numId w:val="1006"/>
        </w:numPr>
      </w:pPr>
      <w:r>
        <w:t xml:space="preserve">Use</w:t>
      </w:r>
      <w:r>
        <w:t xml:space="preserve"> </w:t>
      </w:r>
      <w:r>
        <w:rPr>
          <w:b/>
          <w:bCs/>
        </w:rPr>
        <w:t xml:space="preserve">recurring metaphors</w:t>
      </w:r>
      <w:r>
        <w:t xml:space="preserve"> </w:t>
      </w:r>
      <w:r>
        <w:t xml:space="preserve">(tribunal, ledger, inheritance, lattice) to stitch parts together.</w:t>
      </w:r>
    </w:p>
    <w:p>
      <w:pPr>
        <w:pStyle w:val="Compact"/>
        <w:numPr>
          <w:ilvl w:val="0"/>
          <w:numId w:val="1006"/>
        </w:numPr>
      </w:pPr>
      <w:r>
        <w:t xml:space="preserve">Ensure</w:t>
      </w:r>
      <w:r>
        <w:t xml:space="preserve"> </w:t>
      </w:r>
      <w:r>
        <w:rPr>
          <w:b/>
          <w:bCs/>
        </w:rPr>
        <w:t xml:space="preserve">emotional sequencing</w:t>
      </w:r>
      <w:r>
        <w:t xml:space="preserve"> </w:t>
      </w:r>
      <w:r>
        <w:t xml:space="preserve">matches thematic flow (grief → outrage → hope → awe → permanence).</w:t>
      </w:r>
    </w:p>
    <w:p>
      <w:pPr>
        <w:pStyle w:val="Compact"/>
        <w:numPr>
          <w:ilvl w:val="0"/>
          <w:numId w:val="1006"/>
        </w:numPr>
      </w:pPr>
      <w:r>
        <w:t xml:space="preserve">Clarify</w:t>
      </w:r>
      <w:r>
        <w:t xml:space="preserve"> </w:t>
      </w:r>
      <w:r>
        <w:rPr>
          <w:b/>
          <w:bCs/>
        </w:rPr>
        <w:t xml:space="preserve">bridges</w:t>
      </w:r>
      <w:r>
        <w:t xml:space="preserve"> </w:t>
      </w:r>
      <w:r>
        <w:t xml:space="preserve">between chapters to avoid modularity.</w:t>
      </w:r>
    </w:p>
    <w:p>
      <w:pPr>
        <w:pStyle w:val="Compact"/>
        <w:numPr>
          <w:ilvl w:val="0"/>
          <w:numId w:val="1006"/>
        </w:numPr>
      </w:pPr>
      <w:r>
        <w:t xml:space="preserve">Close with</w:t>
      </w:r>
      <w:r>
        <w:t xml:space="preserve"> </w:t>
      </w:r>
      <w:r>
        <w:rPr>
          <w:b/>
          <w:bCs/>
        </w:rPr>
        <w:t xml:space="preserve">return to tribunal voice</w:t>
      </w:r>
      <w:r>
        <w:t xml:space="preserve"> </w:t>
      </w:r>
      <w:r>
        <w:t xml:space="preserve">for full-circle coherence.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2025-09-25T23:34:47Z</dcterms:created>
  <dcterms:modified xsi:type="dcterms:W3CDTF">2025-09-25T23:34:47Z</dcterms:modified>
</cp:coreProperties>
</file>

<file path=docProps/custom.xml><?xml version="1.0" encoding="utf-8"?>
<Properties xmlns="http://schemas.openxmlformats.org/officeDocument/2006/custom-properties" xmlns:vt="http://schemas.openxmlformats.org/officeDocument/2006/docPropsVTypes"/>
</file>