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4a2234d9c3f61242f55d17023e4f279de16fbb"/>
    <w:p>
      <w:pPr>
        <w:pStyle w:val="Heading1"/>
      </w:pPr>
      <w:r>
        <w:t xml:space="preserve">Master Condensed Analysis — Depth &amp; Illustration Expansion</w:t>
      </w:r>
    </w:p>
    <w:p>
      <w:r>
        <w:pict>
          <v:rect style="width:0;height:1.5pt" o:hralign="center" o:hrstd="t" o:hr="t"/>
        </w:pict>
      </w:r>
    </w:p>
    <w:bookmarkStart w:id="20" w:name="part-i-collapse-named-ch.-13"/>
    <w:p>
      <w:pPr>
        <w:pStyle w:val="Heading2"/>
      </w:pPr>
      <w:r>
        <w:t xml:space="preserve">Part I: Collapse Named (Ch. 1–3)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Strong tribunal voice and moral authority; risk of abstraction. Examples sparse.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Needs: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historical parallels</w:t>
      </w:r>
      <w:r>
        <w:t xml:space="preserve"> </w:t>
      </w:r>
      <w:r>
        <w:t xml:space="preserve">(Rome, Soviet Union, 2008 crisis).</w:t>
      </w:r>
    </w:p>
    <w:p>
      <w:pPr>
        <w:pStyle w:val="Compact"/>
        <w:numPr>
          <w:ilvl w:val="1"/>
          <w:numId w:val="1002"/>
        </w:numPr>
      </w:pPr>
      <w:r>
        <w:t xml:space="preserve">Insert</w:t>
      </w:r>
      <w:r>
        <w:t xml:space="preserve"> </w:t>
      </w:r>
      <w:r>
        <w:rPr>
          <w:b/>
          <w:bCs/>
        </w:rPr>
        <w:t xml:space="preserve">ordinary life vignettes</w:t>
      </w:r>
      <w:r>
        <w:t xml:space="preserve"> </w:t>
      </w:r>
      <w:r>
        <w:t xml:space="preserve">(families, workers, students) to ground pathos.</w:t>
      </w:r>
    </w:p>
    <w:p>
      <w:pPr>
        <w:pStyle w:val="Compact"/>
        <w:numPr>
          <w:ilvl w:val="1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metaphors</w:t>
      </w:r>
      <w:r>
        <w:t xml:space="preserve"> </w:t>
      </w:r>
      <w:r>
        <w:t xml:space="preserve">(gavel, ledger, stolen horizon) more consistently.</w:t>
      </w:r>
    </w:p>
    <w:bookmarkEnd w:id="20"/>
    <w:bookmarkStart w:id="21" w:name="part-ii-machinery-of-capture-ch.-45"/>
    <w:p>
      <w:pPr>
        <w:pStyle w:val="Heading2"/>
      </w:pPr>
      <w:r>
        <w:t xml:space="preserve">Part II: Machinery of Capture (Ch. 4–5)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Conceptually clear but dense; lacks illustrative color.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Needs:</w:t>
      </w:r>
    </w:p>
    <w:p>
      <w:pPr>
        <w:pStyle w:val="Compact"/>
        <w:numPr>
          <w:ilvl w:val="1"/>
          <w:numId w:val="100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case studies</w:t>
      </w:r>
      <w:r>
        <w:t xml:space="preserve"> </w:t>
      </w:r>
      <w:r>
        <w:t xml:space="preserve">(campus capture, media framing, neighbor denunciations).</w:t>
      </w:r>
    </w:p>
    <w:p>
      <w:pPr>
        <w:pStyle w:val="Compact"/>
        <w:numPr>
          <w:ilvl w:val="1"/>
          <w:numId w:val="1004"/>
        </w:numPr>
      </w:pPr>
      <w:r>
        <w:t xml:space="preserve">Employ</w:t>
      </w:r>
      <w:r>
        <w:t xml:space="preserve"> </w:t>
      </w:r>
      <w:r>
        <w:rPr>
          <w:b/>
          <w:bCs/>
        </w:rPr>
        <w:t xml:space="preserve">imagery/metaphor</w:t>
      </w:r>
      <w:r>
        <w:t xml:space="preserve"> </w:t>
      </w:r>
      <w:r>
        <w:t xml:space="preserve">(immune system, cage, spell).</w:t>
      </w:r>
    </w:p>
    <w:p>
      <w:pPr>
        <w:pStyle w:val="Compact"/>
        <w:numPr>
          <w:ilvl w:val="1"/>
          <w:numId w:val="1004"/>
        </w:numPr>
      </w:pPr>
      <w:r>
        <w:t xml:space="preserve">Show</w:t>
      </w:r>
      <w:r>
        <w:t xml:space="preserve"> </w:t>
      </w:r>
      <w:r>
        <w:rPr>
          <w:b/>
          <w:bCs/>
        </w:rPr>
        <w:t xml:space="preserve">everyday consequences</w:t>
      </w:r>
      <w:r>
        <w:t xml:space="preserve"> </w:t>
      </w:r>
      <w:r>
        <w:t xml:space="preserve">of conditioning to enhance identification.</w:t>
      </w:r>
    </w:p>
    <w:bookmarkEnd w:id="21"/>
    <w:bookmarkStart w:id="22" w:name="X0fc826e2ab43e8b7573dd8c72fab590f1b85aa0"/>
    <w:p>
      <w:pPr>
        <w:pStyle w:val="Heading2"/>
      </w:pPr>
      <w:r>
        <w:t xml:space="preserve">Part III: The Reckoning and the Call (Ch. 6–9)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High urgency, strong moral clarity; risks list-like cadence.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Needs:</w:t>
      </w:r>
    </w:p>
    <w:p>
      <w:pPr>
        <w:pStyle w:val="Compact"/>
        <w:numPr>
          <w:ilvl w:val="1"/>
          <w:numId w:val="1006"/>
        </w:numPr>
      </w:pPr>
      <w:r>
        <w:t xml:space="preserve">Anchor each betrayal in</w:t>
      </w:r>
      <w:r>
        <w:t xml:space="preserve"> </w:t>
      </w:r>
      <w:r>
        <w:rPr>
          <w:b/>
          <w:bCs/>
        </w:rPr>
        <w:t xml:space="preserve">specific examples</w:t>
      </w:r>
      <w:r>
        <w:t xml:space="preserve"> </w:t>
      </w:r>
      <w:r>
        <w:t xml:space="preserve">(wars, scandals, border collapse).</w:t>
      </w:r>
    </w:p>
    <w:p>
      <w:pPr>
        <w:pStyle w:val="Compact"/>
        <w:numPr>
          <w:ilvl w:val="1"/>
          <w:numId w:val="1006"/>
        </w:numPr>
      </w:pPr>
      <w:r>
        <w:t xml:space="preserve">Differentiate</w:t>
      </w:r>
      <w:r>
        <w:t xml:space="preserve"> </w:t>
      </w:r>
      <w:r>
        <w:rPr>
          <w:b/>
          <w:bCs/>
        </w:rPr>
        <w:t xml:space="preserve">audience addresses</w:t>
      </w:r>
      <w:r>
        <w:t xml:space="preserve"> </w:t>
      </w:r>
      <w:r>
        <w:t xml:space="preserve">(conservatives, technologists, experts, population).</w:t>
      </w:r>
    </w:p>
    <w:p>
      <w:pPr>
        <w:pStyle w:val="Compact"/>
        <w:numPr>
          <w:ilvl w:val="1"/>
          <w:numId w:val="1006"/>
        </w:numPr>
      </w:pPr>
      <w:r>
        <w:t xml:space="preserve">Illustrate</w:t>
      </w:r>
      <w:r>
        <w:t xml:space="preserve"> </w:t>
      </w:r>
      <w:r>
        <w:rPr>
          <w:b/>
          <w:bCs/>
        </w:rPr>
        <w:t xml:space="preserve">compounding costs of delay</w:t>
      </w:r>
      <w:r>
        <w:t xml:space="preserve"> </w:t>
      </w:r>
      <w:r>
        <w:t xml:space="preserve">with narrative vignettes.</w:t>
      </w:r>
    </w:p>
    <w:bookmarkEnd w:id="22"/>
    <w:bookmarkStart w:id="23" w:name="part-iv-path-of-renewal-ch.-1012"/>
    <w:p>
      <w:pPr>
        <w:pStyle w:val="Heading2"/>
      </w:pPr>
      <w:r>
        <w:t xml:space="preserve">Part IV: Path of Renewal (Ch. 10–12)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Strong visionary ethos; some sections read as checklist.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Needs:</w:t>
      </w:r>
    </w:p>
    <w:p>
      <w:pPr>
        <w:pStyle w:val="Compact"/>
        <w:numPr>
          <w:ilvl w:val="1"/>
          <w:numId w:val="1008"/>
        </w:numPr>
      </w:pPr>
      <w:r>
        <w:t xml:space="preserve">Enrich with</w:t>
      </w:r>
      <w:r>
        <w:t xml:space="preserve"> </w:t>
      </w:r>
      <w:r>
        <w:rPr>
          <w:b/>
          <w:bCs/>
        </w:rPr>
        <w:t xml:space="preserve">imagery of rebirth and inheritance</w:t>
      </w:r>
      <w:r>
        <w:t xml:space="preserve"> </w:t>
      </w:r>
      <w:r>
        <w:t xml:space="preserve">(festivals, children, monuments).</w:t>
      </w:r>
    </w:p>
    <w:p>
      <w:pPr>
        <w:pStyle w:val="Compact"/>
        <w:numPr>
          <w:ilvl w:val="1"/>
          <w:numId w:val="1008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practical illustrations</w:t>
      </w:r>
      <w:r>
        <w:t xml:space="preserve"> </w:t>
      </w:r>
      <w:r>
        <w:t xml:space="preserve">(industrial projects, educational reforms).</w:t>
      </w:r>
    </w:p>
    <w:p>
      <w:pPr>
        <w:pStyle w:val="Compact"/>
        <w:numPr>
          <w:ilvl w:val="1"/>
          <w:numId w:val="1008"/>
        </w:numPr>
      </w:pPr>
      <w:r>
        <w:t xml:space="preserve">Balance soaring rhetoric with</w:t>
      </w:r>
      <w:r>
        <w:t xml:space="preserve"> </w:t>
      </w:r>
      <w:r>
        <w:rPr>
          <w:b/>
          <w:bCs/>
        </w:rPr>
        <w:t xml:space="preserve">tangible detail</w:t>
      </w:r>
      <w:r>
        <w:t xml:space="preserve">.</w:t>
      </w:r>
    </w:p>
    <w:bookmarkEnd w:id="23"/>
    <w:bookmarkStart w:id="24" w:name="part-v-expansion-and-permanence-ch.-1318"/>
    <w:p>
      <w:pPr>
        <w:pStyle w:val="Heading2"/>
      </w:pPr>
      <w:r>
        <w:t xml:space="preserve">Part V: Expansion and Permanence (Ch. 13–18)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Current State:</w:t>
      </w:r>
      <w:r>
        <w:t xml:space="preserve"> </w:t>
      </w:r>
      <w:r>
        <w:t xml:space="preserve">Awe and grandeur strong; technical and cultural sections thin.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Needs:</w:t>
      </w:r>
    </w:p>
    <w:p>
      <w:pPr>
        <w:pStyle w:val="Compact"/>
        <w:numPr>
          <w:ilvl w:val="1"/>
          <w:numId w:val="1010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technical feasibility cues</w:t>
      </w:r>
      <w:r>
        <w:t xml:space="preserve"> </w:t>
      </w:r>
      <w:r>
        <w:t xml:space="preserve">(energy orders of magnitude, construction phases).</w:t>
      </w:r>
    </w:p>
    <w:p>
      <w:pPr>
        <w:pStyle w:val="Compact"/>
        <w:numPr>
          <w:ilvl w:val="1"/>
          <w:numId w:val="1010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cultural imagery</w:t>
      </w:r>
      <w:r>
        <w:t xml:space="preserve"> </w:t>
      </w:r>
      <w:r>
        <w:t xml:space="preserve">(art, rituals, monuments under new horizons).</w:t>
      </w:r>
    </w:p>
    <w:p>
      <w:pPr>
        <w:pStyle w:val="Compact"/>
        <w:numPr>
          <w:ilvl w:val="1"/>
          <w:numId w:val="1010"/>
        </w:numPr>
      </w:pPr>
      <w:r>
        <w:t xml:space="preserve">Sharpen</w:t>
      </w:r>
      <w:r>
        <w:t xml:space="preserve"> </w:t>
      </w:r>
      <w:r>
        <w:rPr>
          <w:b/>
          <w:bCs/>
        </w:rPr>
        <w:t xml:space="preserve">rhetorical crescendos</w:t>
      </w:r>
      <w:r>
        <w:t xml:space="preserve"> </w:t>
      </w:r>
      <w:r>
        <w:t xml:space="preserve">with vivid illustrations.</w:t>
      </w:r>
    </w:p>
    <w:p>
      <w:r>
        <w:pict>
          <v:rect style="width:0;height:1.5pt" o:hralign="center" o:hrstd="t" o:hr="t"/>
        </w:pict>
      </w:r>
    </w:p>
    <w:bookmarkEnd w:id="24"/>
    <w:bookmarkStart w:id="25" w:name="master-strategy-for-depth-expansion"/>
    <w:p>
      <w:pPr>
        <w:pStyle w:val="Heading2"/>
      </w:pPr>
      <w:r>
        <w:t xml:space="preserve">Master Strategy for Depth Expansion</w:t>
      </w:r>
    </w:p>
    <w:p>
      <w:pPr>
        <w:pStyle w:val="Compact"/>
        <w:numPr>
          <w:ilvl w:val="0"/>
          <w:numId w:val="1011"/>
        </w:numPr>
      </w:pPr>
      <w:r>
        <w:t xml:space="preserve">Anchor abstractions in</w:t>
      </w:r>
      <w:r>
        <w:t xml:space="preserve"> </w:t>
      </w:r>
      <w:r>
        <w:rPr>
          <w:b/>
          <w:bCs/>
        </w:rPr>
        <w:t xml:space="preserve">historical precedent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Ground arguments in</w:t>
      </w:r>
      <w:r>
        <w:t xml:space="preserve"> </w:t>
      </w:r>
      <w:r>
        <w:rPr>
          <w:b/>
          <w:bCs/>
        </w:rPr>
        <w:t xml:space="preserve">ordinary experience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Employ</w:t>
      </w:r>
      <w:r>
        <w:t xml:space="preserve"> </w:t>
      </w:r>
      <w:r>
        <w:rPr>
          <w:b/>
          <w:bCs/>
        </w:rPr>
        <w:t xml:space="preserve">vivid metaphor and imagery</w:t>
      </w:r>
      <w:r>
        <w:t xml:space="preserve"> </w:t>
      </w:r>
      <w:r>
        <w:t xml:space="preserve">to dramatize claims.</w:t>
      </w:r>
    </w:p>
    <w:p>
      <w:pPr>
        <w:pStyle w:val="Compact"/>
        <w:numPr>
          <w:ilvl w:val="0"/>
          <w:numId w:val="1011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technical detail</w:t>
      </w:r>
      <w:r>
        <w:t xml:space="preserve"> </w:t>
      </w:r>
      <w:r>
        <w:t xml:space="preserve">in expansion chapters for credibility.</w:t>
      </w:r>
    </w:p>
    <w:p>
      <w:pPr>
        <w:pStyle w:val="Compact"/>
        <w:numPr>
          <w:ilvl w:val="0"/>
          <w:numId w:val="1011"/>
        </w:numPr>
      </w:pPr>
      <w:r>
        <w:t xml:space="preserve">Ensure each page gains</w:t>
      </w:r>
      <w:r>
        <w:t xml:space="preserve"> </w:t>
      </w:r>
      <w:r>
        <w:rPr>
          <w:b/>
          <w:bCs/>
        </w:rPr>
        <w:t xml:space="preserve">~150–200 words</w:t>
      </w:r>
      <w:r>
        <w:t xml:space="preserve"> </w:t>
      </w:r>
      <w:r>
        <w:t xml:space="preserve">through example, metaphor, and case material.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2025-09-25T23:34:37Z</dcterms:created>
  <dcterms:modified xsi:type="dcterms:W3CDTF">2025-09-25T23:34:37Z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