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</w:p>
    <w:p>
      <w:pPr>
        <w:spacing w:after="40"/>
        <w:jc w:val="center"/>
      </w:pPr>
      <w:r>
        <w:rPr>
          <w:b/>
          <w:i w:val="0"/>
          <w:color w:val="146B5E"/>
          <w:sz w:val="80"/>
        </w:rPr>
        <w:t>MELETA</w:t>
      </w:r>
    </w:p>
    <w:p>
      <w:pPr>
        <w:spacing w:after="480"/>
        <w:jc w:val="center"/>
      </w:pPr>
      <w:r>
        <w:rPr>
          <w:b w:val="0"/>
          <w:i/>
          <w:color w:val="5A6B67"/>
          <w:sz w:val="26"/>
        </w:rPr>
        <w:t>(projet TheraSim)</w:t>
      </w:r>
    </w:p>
    <w:p>
      <w:pPr>
        <w:spacing w:after="120"/>
        <w:jc w:val="center"/>
      </w:pPr>
      <w:r>
        <w:rPr>
          <w:b/>
          <w:i w:val="0"/>
          <w:sz w:val="32"/>
        </w:rPr>
        <w:t>Spécification fonctionnelle et technique complète</w:t>
      </w:r>
    </w:p>
    <w:p>
      <w:pPr>
        <w:spacing w:after="800"/>
        <w:jc w:val="center"/>
      </w:pPr>
      <w:r>
        <w:rPr>
          <w:b w:val="0"/>
          <w:i/>
          <w:color w:val="5A6B67"/>
          <w:sz w:val="22"/>
        </w:rPr>
        <w:t>Entraînement clinique par compétences — drills, mini-scènes et simulations avec patient IA</w:t>
      </w:r>
    </w:p>
    <w:p>
      <w:pPr>
        <w:spacing w:after="40"/>
        <w:jc w:val="center"/>
      </w:pPr>
      <w:r>
        <w:rPr>
          <w:b w:val="0"/>
          <w:i w:val="0"/>
          <w:sz w:val="22"/>
        </w:rPr>
        <w:t>Version de référence — état de l'application au 04/08/2026</w:t>
      </w:r>
    </w:p>
    <w:p>
      <w:pPr>
        <w:jc w:val="center"/>
      </w:pPr>
      <w:r>
        <w:rPr>
          <w:b w:val="0"/>
          <w:i w:val="0"/>
          <w:color w:val="5A6B67"/>
          <w:sz w:val="20"/>
        </w:rPr>
        <w:t>Document de synthèse — 48 modules livrés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fldChar w:fldCharType="begin"/>
        <w:instrText xml:space="preserve">TOC \o "1-2" \h \z \u</w:instrText>
        <w:fldChar w:fldCharType="separate">
          <w:t>Clic droit → « Mettre à jour les champs » pour afficher le sommaire.</w:t>
        </w:fldChar>
        <w:fldChar w:fldCharType="end"/>
      </w:r>
    </w:p>
    <w:p>
      <w:r>
        <w:br w:type="page"/>
      </w:r>
    </w:p>
    <w:p>
      <w:pPr>
        <w:pStyle w:val="Heading1"/>
      </w:pPr>
      <w:r>
        <w:t>1. Présentation du produit</w:t>
      </w:r>
    </w:p>
    <w:p>
      <w:r>
        <w:rPr>
          <w:b w:val="0"/>
          <w:i w:val="0"/>
        </w:rPr>
        <w:t>MELETA est une application web d'entraînement à la relation clinique destinée aux thérapeutes, coachs et étudiants en formation. Elle permet de s'exercer sur des cas réalistes mais fictifs, à travers un continuum de trois niveaux de difficulté, et de suivre sa progression compétence par compétence.</w:t>
      </w:r>
    </w:p>
    <w:p>
      <w:pPr>
        <w:spacing w:after="40"/>
      </w:pPr>
      <w:r>
        <w:rPr>
          <w:b w:val="0"/>
          <w:i w:val="0"/>
        </w:rPr>
        <w:t xml:space="preserve">Le positionnement est explicitement </w:t>
      </w:r>
      <w:r>
        <w:rPr>
          <w:b/>
        </w:rPr>
        <w:t>formatif, non certifiant</w:t>
      </w:r>
    </w:p>
    <w:p>
      <w:r>
        <w:rPr>
          <w:b w:val="0"/>
          <w:i w:val="0"/>
        </w:rPr>
        <w:t>Les recommandations et le routage sont pédagogiques ; l'application ne délivre aucune notation officielle ni certification, conformément aux exigences réglementaires (AI Act, déontologie des professions concernées).</w:t>
      </w:r>
    </w:p>
    <w:p>
      <w:pPr>
        <w:pStyle w:val="Heading2"/>
      </w:pPr>
      <w:r>
        <w:t>1.1 Proposition de valeur</w:t>
      </w:r>
    </w:p>
    <w:p>
      <w:pPr>
        <w:pStyle w:val="ListBullet"/>
        <w:spacing w:after="40"/>
      </w:pPr>
      <w:r>
        <w:rPr>
          <w:b/>
        </w:rPr>
        <w:t xml:space="preserve">Pour le praticien : </w:t>
      </w:r>
      <w:r>
        <w:t>s'entraîner à mobiliser des compétences cliniques sous pression, pas seulement à les théoriser ;</w:t>
      </w:r>
    </w:p>
    <w:p>
      <w:pPr>
        <w:pStyle w:val="ListBullet"/>
        <w:spacing w:after="40"/>
      </w:pPr>
      <w:r>
        <w:rPr>
          <w:b/>
        </w:rPr>
        <w:t xml:space="preserve">Cœur : </w:t>
      </w:r>
      <w:r>
        <w:t>un patient simulé par IA qui réagit à la posture, un feedback immédiat, une carte de progression ;</w:t>
      </w:r>
    </w:p>
    <w:p>
      <w:pPr>
        <w:pStyle w:val="ListBullet"/>
        <w:spacing w:after="40"/>
      </w:pPr>
      <w:r>
        <w:rPr>
          <w:b/>
        </w:rPr>
        <w:t xml:space="preserve">Pour les écoles / organismes : </w:t>
      </w:r>
      <w:r>
        <w:t>un accès dédié en marque blanche pour l'ensemble des apprenants, avec sessions live et supervision.</w:t>
      </w:r>
    </w:p>
    <w:p>
      <w:pPr>
        <w:pStyle w:val="Heading2"/>
      </w:pPr>
      <w:r>
        <w:t>1.2 Le continuum pédagogique (N1 → N2 → N3)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Niveau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Format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N1 — Drills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Exercices ciblés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Reconnaissance (QCM) puis production (réponse libre évaluée par IA). Feedback, réponse modèle, réaction patient.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N2 — Mini-scènes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Dialogue guidé (4 tours)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Cible automatiquement les 2 compétences prioritaires, indices à la demande, débrief ciblé.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N3 — Simulation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Entretien libre complet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Patient LLM réactif, entretien clôturé par l'apprenant, débrief sommatif multi-compétences.</w:t>
            </w:r>
          </w:p>
        </w:tc>
      </w:tr>
    </w:tbl>
    <w:p>
      <w:pPr>
        <w:spacing w:after="40"/>
      </w:pPr>
    </w:p>
    <w:p>
      <w:r>
        <w:rPr>
          <w:b w:val="0"/>
          <w:i/>
          <w:color w:val="5A6B67"/>
          <w:sz w:val="19"/>
        </w:rPr>
        <w:t>Les trois niveaux écrivent tous des « essais » (Attempt) dans une source de vérité unique, qui alimente la même carte de progression. Les sessions live (participants anonymes) sont traitées séparément et n'entrent pas dans la carte personnelle.</w:t>
      </w:r>
    </w:p>
    <w:p>
      <w:pPr>
        <w:pStyle w:val="Heading1"/>
      </w:pPr>
      <w:r>
        <w:t>2. Modèle pédagogique — le moteur</w:t>
      </w:r>
    </w:p>
    <w:p>
      <w:r>
        <w:rPr>
          <w:b w:val="0"/>
          <w:i w:val="0"/>
        </w:rPr>
        <w:t>Le moteur est agnostique du contenu : il fonctionne à l'identique pour tout référentiel. Ajouter un domaine, c'est écrire du contenu (grille + cas + drills), sans modification de code.</w:t>
      </w:r>
    </w:p>
    <w:p>
      <w:pPr>
        <w:pStyle w:val="Heading2"/>
      </w:pPr>
      <w:r>
        <w:t>2.1 Normalisation et maîtrise</w:t>
      </w:r>
    </w:p>
    <w:p>
      <w:pPr>
        <w:pStyle w:val="ListBullet"/>
        <w:spacing w:after="40"/>
      </w:pPr>
      <w:r>
        <w:rPr>
          <w:b/>
        </w:rPr>
        <w:t xml:space="preserve">Normalisation : </w:t>
      </w:r>
      <w:r>
        <w:t>tout score est ramené dans l'intervalle [0,1]. Une note 1-5 devient (note-1)/4 ; un QCM prend le score de l'option.</w:t>
      </w:r>
    </w:p>
    <w:p>
      <w:pPr>
        <w:pStyle w:val="ListBullet"/>
        <w:spacing w:after="40"/>
      </w:pPr>
      <w:r>
        <w:rPr>
          <w:b/>
        </w:rPr>
        <w:t xml:space="preserve">Maîtrise : </w:t>
      </w:r>
      <w:r>
        <w:t>moyenne mobile pondérée par la récence — mastery = (1-α)·mastery + α·score, avec α = 0,4.</w:t>
      </w:r>
    </w:p>
    <w:p>
      <w:pPr>
        <w:pStyle w:val="Heading2"/>
      </w:pPr>
      <w:r>
        <w:t>2.2 Paliers et couverture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Notion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19"/>
              </w:rPr>
              <w:t>Seuils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Paliers de maîtrise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&lt; 0,40 faible · 0,40–0,60 émergent · 0,60–0,80 solide · &gt; 0,80 maîtrisé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Couverture (nombre d'essais)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0 jamais · 1–2 effleurée · 3–5 pratiquée · 6+ bien couverte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Oubli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&gt; 21 jours sans pratique → « à réviser » (n'abaisse pas la maîtrise, augmente la priorité)</w:t>
            </w:r>
          </w:p>
        </w:tc>
      </w:tr>
    </w:tbl>
    <w:p>
      <w:pPr>
        <w:spacing w:after="40"/>
      </w:pPr>
    </w:p>
    <w:p>
      <w:r>
        <w:rPr>
          <w:b w:val="0"/>
          <w:i/>
          <w:color w:val="5A6B67"/>
          <w:sz w:val="19"/>
        </w:rPr>
        <w:t>Règle métier critique : une compétence jamais pratiquée est affichée « non couverte » (gris), jamais « faible ». On ne présume pas d'un déficit tant qu'il n'y a pas de donnée.</w:t>
      </w:r>
    </w:p>
    <w:p>
      <w:pPr>
        <w:pStyle w:val="Heading2"/>
      </w:pPr>
      <w:r>
        <w:t>2.3 Routage adaptatif</w:t>
      </w:r>
    </w:p>
    <w:p>
      <w:r>
        <w:rPr>
          <w:b w:val="0"/>
          <w:i w:val="0"/>
        </w:rPr>
        <w:t>À chaque demande de « drill suivant », le moteur calcule une priorité par compétence, scopée au référentiel, et choisit le meilleur drill candidat en zone proximale de difficulté (juste au-dessus de la maîtrise). Une raison lisible accompagne chaque priorité.</w:t>
      </w:r>
    </w:p>
    <w:p>
      <w:r>
        <w:rPr>
          <w:b w:val="0"/>
          <w:i/>
          <w:sz w:val="20"/>
        </w:rPr>
        <w:t>priorité = 0,45·(1 − maîtrise) + 0,30·(1 − couverture_norm) + 0,15·récence + 0,10·pertinence</w:t>
      </w:r>
    </w:p>
    <w:p>
      <w:pPr>
        <w:pStyle w:val="ListBullet"/>
        <w:spacing w:after="40"/>
      </w:pPr>
      <w:r>
        <w:t>Pour un débutant, le mode « reconnaissance » est préféré au mode « production ».</w:t>
      </w:r>
    </w:p>
    <w:p>
      <w:pPr>
        <w:pStyle w:val="ListBullet"/>
        <w:spacing w:after="40"/>
      </w:pPr>
      <w:r>
        <w:t>Le routage ne propose jamais un drill d'un autre référentiel (cantonnement strict).</w:t>
      </w:r>
    </w:p>
    <w:p>
      <w:pPr>
        <w:pStyle w:val="ListBullet"/>
        <w:spacing w:after="40"/>
      </w:pPr>
      <w:r>
        <w:t>Aucune moyenne globale n'est jamais calculée entre référentiels (grilles autonomes — Option A).</w:t>
      </w:r>
    </w:p>
    <w:p>
      <w:pPr>
        <w:pStyle w:val="Heading1"/>
      </w:pPr>
      <w:r>
        <w:t>3. Architecture technique</w:t>
      </w:r>
    </w:p>
    <w:p>
      <w:pPr>
        <w:pStyle w:val="Heading2"/>
      </w:pPr>
      <w:r>
        <w:t>3.1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Couche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</w:rPr>
              <w:t>Technologie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Framework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Next.js 16 (App Router, Turbopack)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Server Components + Route Handlers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Langage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TypeScript 5 (strict)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Build Vercel strict : zéro erreur tolérée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UI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Tailwind CSS v4 + composants maison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lucide-react pour les icônes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ORM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Prisma v7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Adaptateur obligatoire (@prisma/adapter-pg, driver natif)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Base de données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Neon (PostgreSQL)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Connexion native port 5432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LLM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Mistral et/ou Claude (Anthropic)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Modèle choisi par usage dans /admin/modeles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Email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Resend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Liens magiques, invitations, relances bêta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Lien magique + mot de passe (bcrypt)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Sessions JWT (jose) en cookie httpOnly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Hébergement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Vercel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Déploiement automatique sur push (main)</w:t>
            </w:r>
          </w:p>
        </w:tc>
      </w:tr>
    </w:tbl>
    <w:p>
      <w:pPr>
        <w:spacing w:after="40"/>
      </w:pPr>
    </w:p>
    <w:p>
      <w:pPr>
        <w:pStyle w:val="Heading2"/>
      </w:pPr>
      <w:r>
        <w:t>3.2 Conventions structurantes</w:t>
      </w:r>
    </w:p>
    <w:p>
      <w:pPr>
        <w:pStyle w:val="ListBullet"/>
        <w:spacing w:after="40"/>
      </w:pPr>
      <w:r>
        <w:rPr>
          <w:b/>
        </w:rPr>
        <w:t xml:space="preserve">Server Components par défaut : </w:t>
      </w:r>
      <w:r>
        <w:t>les pages font leurs requêtes Prisma côté serveur ; les Route Handlers servent le client et les redirections.</w:t>
      </w:r>
    </w:p>
    <w:p>
      <w:pPr>
        <w:pStyle w:val="ListBullet"/>
        <w:spacing w:after="40"/>
      </w:pPr>
      <w:r>
        <w:rPr>
          <w:b/>
        </w:rPr>
        <w:t xml:space="preserve">Aucune fuite de corrigé : </w:t>
      </w:r>
      <w:r>
        <w:t>is_best / score / feedback d'un QCM ne sont jamais envoyés au front avant la réponse (publicDrill).</w:t>
      </w:r>
    </w:p>
    <w:p>
      <w:pPr>
        <w:pStyle w:val="ListBullet"/>
        <w:spacing w:after="40"/>
      </w:pPr>
      <w:r>
        <w:rPr>
          <w:b/>
        </w:rPr>
        <w:t xml:space="preserve">Rendu dynamique : </w:t>
      </w:r>
      <w:r>
        <w:t>force-dynamic sur toute page/route touchant la base (données par utilisateur).</w:t>
      </w:r>
    </w:p>
    <w:p>
      <w:pPr>
        <w:pStyle w:val="ListBullet"/>
        <w:spacing w:after="40"/>
      </w:pPr>
      <w:r>
        <w:rPr>
          <w:b/>
        </w:rPr>
        <w:t xml:space="preserve">Réponses API : </w:t>
      </w:r>
      <w:r>
        <w:t>format uniforme succès/erreur, jamais de toast d'erreur là où un mur/paywall métier est attendu.</w:t>
      </w:r>
    </w:p>
    <w:p>
      <w:pPr>
        <w:pStyle w:val="Heading2"/>
      </w:pPr>
      <w:r>
        <w:t>3.3 Usages IA et localisation des données</w:t>
      </w:r>
    </w:p>
    <w:p>
      <w:r>
        <w:rPr>
          <w:b w:val="0"/>
          <w:i w:val="0"/>
        </w:rPr>
        <w:t>Une couche unifiée (llmChat / llmChatStream) dispatche vers Mistral ou Claude selon l'usage configuré : patient (N2/N3), évaluateur (production), génération de cartes, support. L'usage « support » est verrouillé sur Mistral (UE) car un ticket se rapporte à une personne identifiée (RGPD). L'évaluateur tourne à température 0 pour une note reproductible.</w:t>
      </w:r>
    </w:p>
    <w:p>
      <w:pPr>
        <w:pStyle w:val="Heading1"/>
      </w:pPr>
      <w:r>
        <w:t>4. Modèle de données</w:t>
      </w:r>
    </w:p>
    <w:p>
      <w:r>
        <w:rPr>
          <w:b w:val="0"/>
          <w:i w:val="0"/>
        </w:rPr>
        <w:t>Toutes les entités métier sont conscientes du référentiel (framework_id) et multi-tenant (tenant_id). Les champs de statut sont des chaînes (String) validées par union TypeScript + zod — jamais d'enum Prisma (voir §12).</w:t>
      </w:r>
    </w:p>
    <w:p>
      <w:pPr>
        <w:pStyle w:val="Heading2"/>
      </w:pPr>
      <w:r>
        <w:t>4.1 Grands domaines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Domaine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9"/>
              </w:rPr>
              <w:t>Entités principales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Plateforme / tenancy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Tenant (public B2C | whitelabel B2B), User (rôle + tenant), AuthToken, AppConfig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Catalogue &amp; droits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Framework → CompetencyGrid → Category → Competency ; Scenario, Drill ; Pack, PackFramework, TenantPack, TenantFrameworkOverride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Progression apprenant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Attempt → UserCompetencyState ; SimSession + SimMessage (N2/N3)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Formations &amp; live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Formation → FormationModule ; LiveSession → LiveParticipant, LiveAnswer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Économie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SubscriptionPlan, UserSubscription, CreditPack, CreditLedger, FrameworkOffer, UserFrameworkAccess, StripeEvent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Croissance &amp; bêta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BetaInvite, funnel_events, CommissionLedger, PayoutRequest, testimonials, support tickets</w:t>
            </w:r>
          </w:p>
        </w:tc>
      </w:tr>
    </w:tbl>
    <w:p>
      <w:pPr>
        <w:spacing w:after="40"/>
      </w:pPr>
    </w:p>
    <w:p>
      <w:r>
        <w:rPr>
          <w:b w:val="0"/>
          <w:i/>
          <w:color w:val="5A6B67"/>
          <w:sz w:val="19"/>
        </w:rPr>
        <w:t>Le schéma complet fait foi : prisma/schema.prisma. Deux producteurs, une source de vérité : drills (N1) et simulations (N2/N3) écrivent tous des Attempt.</w:t>
      </w:r>
    </w:p>
    <w:p>
      <w:pPr>
        <w:pStyle w:val="Heading1"/>
      </w:pPr>
      <w:r>
        <w:t>5. Rôles, tenancy et parcours</w:t>
      </w:r>
    </w:p>
    <w:p>
      <w:pPr>
        <w:pStyle w:val="Heading2"/>
      </w:pPr>
      <w:r>
        <w:t>5.1 Rôles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Rôle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9"/>
              </w:rPr>
              <w:t>Périmètre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super_admin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Console complète : plateformes, packs, référentiels, modèles LLM, facturation, support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tenant_admin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Administration d'une plateforme cliente : membres, formations, sessions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formateur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Formations, sessions live, supervision des apprenants de sa plateforme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learner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Apprenant : entraînement, simulations, carte de progression, achats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participant live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Anonyme (prénom/nom) : rejoint une session live, hors carte personnelle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Le tenant actif est porté par la session JWT. L'impersonation super-admin (« Accéder ») scope la session au tenant cible, avec un bandeau « Quitter ».</w:t>
      </w:r>
    </w:p>
    <w:p>
      <w:pPr>
        <w:pStyle w:val="Heading2"/>
      </w:pPr>
      <w:r>
        <w:t>5.2 Authentification</w:t>
      </w:r>
    </w:p>
    <w:p>
      <w:pPr>
        <w:pStyle w:val="ListBullet"/>
        <w:spacing w:after="40"/>
      </w:pPr>
      <w:r>
        <w:t>Lien magique (email Resend) et mot de passe (bcrypt), deux onglets sur /login.</w:t>
      </w:r>
    </w:p>
    <w:p>
      <w:pPr>
        <w:pStyle w:val="ListBullet"/>
        <w:spacing w:after="40"/>
      </w:pPr>
      <w:r>
        <w:t>Inscription B2C sur /inscription : accès immédiat, consentement RGPD horodaté, report du forfait choisi.</w:t>
      </w:r>
    </w:p>
    <w:p>
      <w:pPr>
        <w:pStyle w:val="ListBullet"/>
        <w:spacing w:after="40"/>
      </w:pPr>
      <w:r>
        <w:t>Mot de passe oublié : réponse générique (ne révèle pas l'existence du compte), token TTL 60 min.</w:t>
      </w:r>
    </w:p>
    <w:p>
      <w:pPr>
        <w:pStyle w:val="ListBullet"/>
        <w:spacing w:after="40"/>
      </w:pPr>
      <w:r>
        <w:t>Invitations de membres : token magique 7 jours, email + lien affiché à l'admin.</w:t>
      </w:r>
    </w:p>
    <w:p>
      <w:pPr>
        <w:pStyle w:val="Heading1"/>
      </w:pPr>
      <w:r>
        <w:t>6. Catalogue et référentiels</w:t>
      </w:r>
    </w:p>
    <w:p>
      <w:r>
        <w:rPr>
          <w:b w:val="0"/>
          <w:i w:val="0"/>
        </w:rPr>
        <w:t>Le catalogue compte 8 référentiels. Chaque référentiel porte une nature commerciale : « socle » (accessible à tout compte, hors quota) ou « spécialité » (comptée dans le quota du forfait).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/>
            <w:r>
              <w:rPr>
                <w:b/>
                <w:sz w:val="19"/>
              </w:rPr>
              <w:t>Référentiel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Type / nature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Contenu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Entretien motivationnel (EM)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Approche — produit d'appel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10 compétences, 50 drills, 4 cas patients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ACT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Approche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6 compétences, 30 drills, 3 cas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Anamnèse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Transversale — produit d'appel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6 compétences, 30 drills, 3 cas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Alliance thérapeutique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Socle (transversale)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Cartes + cas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Ruptures d'alliance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Socle (transversale)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Cartes + cas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Accompagner le deuil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Situation / approche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Cartes + cas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Hypnose ericksonienne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Approche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Cartes + cas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Ménopause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Situation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Cartes + cas</w:t>
            </w:r>
          </w:p>
        </w:tc>
      </w:tr>
    </w:tbl>
    <w:p>
      <w:pPr>
        <w:spacing w:after="40"/>
      </w:pPr>
    </w:p>
    <w:p>
      <w:r>
        <w:rPr>
          <w:b w:val="0"/>
          <w:i/>
          <w:color w:val="5A6B67"/>
          <w:sz w:val="19"/>
        </w:rPr>
        <w:t>Le contenu clinique, rédigé avec assistance IA, est réaliste mais doit être relu par un clinicien et l'évaluateur calibré par référentiel avant usage sérieux.</w:t>
      </w:r>
    </w:p>
    <w:p>
      <w:r>
        <w:rPr>
          <w:b w:val="0"/>
          <w:i w:val="0"/>
        </w:rPr>
        <w:t>Administration du contenu (super-admin) : création de référentiel, édition de la structure (catégories, compétences, ancrages 1/3/5), création de cartes reconnaissance/production avec génération assistée par IA (à relire).</w:t>
      </w:r>
    </w:p>
    <w:p>
      <w:pPr>
        <w:pStyle w:val="Heading1"/>
      </w:pPr>
      <w:r>
        <w:t>7. Modèle économique</w:t>
      </w:r>
    </w:p>
    <w:p>
      <w:pPr>
        <w:pStyle w:val="Heading2"/>
      </w:pPr>
      <w:r>
        <w:t>7.1 Freemium</w:t>
      </w:r>
    </w:p>
    <w:p>
      <w:r>
        <w:rPr>
          <w:b w:val="0"/>
          <w:i w:val="0"/>
        </w:rPr>
        <w:t>À l'inscription B2C, seuls les référentiels « socle »/gratuits sont utilisables. Les autres sont visibles mais verrouillés (vitrine incitative : liste des compétences, prix, forfaits qui l'incluent). Le compte gratuit « Découverte » a droit à une séance N3 complète offerte, à vie.</w:t>
      </w:r>
    </w:p>
    <w:p>
      <w:pPr>
        <w:pStyle w:val="Heading2"/>
      </w:pPr>
      <w:r>
        <w:t>7.2 Deux voies de déblocage</w:t>
      </w:r>
    </w:p>
    <w:p>
      <w:pPr>
        <w:pStyle w:val="ListBullet"/>
        <w:spacing w:after="40"/>
      </w:pPr>
      <w:r>
        <w:rPr>
          <w:b/>
        </w:rPr>
        <w:t xml:space="preserve">Quota d'abonnement : </w:t>
      </w:r>
      <w:r>
        <w:t>chaque forfait donne droit à N spécialités au choix de l'abonné (vide = tout le catalogue). L'abonné débloque lui-même en cliquant un domaine verrouillé. Choix définitifs tant qu'on est abonné (anti-abus). Les lignes de choix sont conservées en base et se réactivent si l'abonné revient.</w:t>
      </w:r>
    </w:p>
    <w:p>
      <w:pPr>
        <w:pStyle w:val="ListBullet"/>
        <w:spacing w:after="40"/>
      </w:pPr>
      <w:r>
        <w:rPr>
          <w:b/>
        </w:rPr>
        <w:t xml:space="preserve">Achat à l'unité : </w:t>
      </w:r>
      <w:r>
        <w:t>paiement unique Stripe, accès à vie, avec ou sans abonnement.</w:t>
      </w:r>
    </w:p>
    <w:p>
      <w:r>
        <w:rPr>
          <w:b w:val="0"/>
          <w:i w:val="0"/>
        </w:rPr>
        <w:t>Unité de vente = le référentiel entier (le moteur fonctionne par référentiel : carte, routage, drills).</w:t>
      </w:r>
    </w:p>
    <w:p>
      <w:pPr>
        <w:pStyle w:val="Heading2"/>
      </w:pPr>
      <w:r>
        <w:t>7.3 Portefeuille de crédits</w:t>
      </w:r>
    </w:p>
    <w:p>
      <w:r>
        <w:rPr>
          <w:b w:val="0"/>
          <w:i w:val="0"/>
        </w:rPr>
        <w:t>Deux compteurs distincts, avec un ordre de consommation « planCredits d'abord, puis credits » (logique pure et testée)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Compteur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Nature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planCredits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Allocation du forfait — non cumulative, remise à 0 en fin d'accès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credits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Portefeuille persistant : packs achetés + crédits offerts (bienvenue, recharge mensuelle)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Les packs de crédits sont une recharge réservée aux abonnés (Découverte n'a que l'upgrade).</w:t>
      </w:r>
    </w:p>
    <w:p>
      <w:pPr>
        <w:pStyle w:val="ListBullet"/>
        <w:spacing w:after="40"/>
      </w:pPr>
      <w:r>
        <w:t>Un forfait « sans compter » (monthlyCredits = null) court-circuite le débit ; garde-fous d'usage loyal + page /admin/usage.</w:t>
      </w:r>
    </w:p>
    <w:p>
      <w:pPr>
        <w:pStyle w:val="ListBullet"/>
        <w:spacing w:after="40"/>
      </w:pPr>
      <w:r>
        <w:t>Deux murs de crédits : « credits » (recharge + upgrade) et « level3 » (séance Découverte à vie épuisée → upgrade seul). Recalcul autoritaire côté serveur, jamais d'erreur bloquante.</w:t>
      </w:r>
    </w:p>
    <w:p>
      <w:pPr>
        <w:pStyle w:val="Heading2"/>
      </w:pPr>
      <w:r>
        <w:t>7.4 Forfaits, abonnements et paiements Stripe</w:t>
      </w:r>
    </w:p>
    <w:p>
      <w:pPr>
        <w:pStyle w:val="ListBullet"/>
        <w:spacing w:after="40"/>
      </w:pPr>
      <w:r>
        <w:t>Forfaits entièrement configurables par le super-admin (nom, prix mensuel et annuel, crédits/mois, quota, Price ID). Aucun prix en dur dans le code.</w:t>
      </w:r>
    </w:p>
    <w:p>
      <w:pPr>
        <w:pStyle w:val="ListBullet"/>
        <w:spacing w:after="40"/>
      </w:pPr>
      <w:r>
        <w:t>Changement de forfait depuis l'app : montée en gamme immédiate (prorata facturé), descente au prochain renouvellement ; toujours dans le cycle courant.</w:t>
      </w:r>
    </w:p>
    <w:p>
      <w:pPr>
        <w:pStyle w:val="ListBullet"/>
        <w:spacing w:after="40"/>
      </w:pPr>
      <w:r>
        <w:t>Webhook Stripe idempotent (table StripeEvent) : checkout.session.completed, invoice.paid, subscription created/updated/deleted, trial_will_end. Crédits d'abonnement accordés uniquement sur invoice.paid.</w:t>
      </w:r>
    </w:p>
    <w:p>
      <w:pPr>
        <w:pStyle w:val="ListBullet"/>
        <w:spacing w:after="40"/>
      </w:pPr>
      <w:r>
        <w:t>Bouton admin « Re-synchroniser » : relit l'état réel chez Stripe et corrige la base (filet en cas de webhook manqué). Le prix courant fait foi pour résoudre le forfait.</w:t>
      </w:r>
    </w:p>
    <w:p>
      <w:pPr>
        <w:pStyle w:val="Heading1"/>
      </w:pPr>
      <w:r>
        <w:t>8. Bêta fermée</w:t>
      </w:r>
    </w:p>
    <w:p>
      <w:r>
        <w:rPr>
          <w:b w:val="0"/>
          <w:i w:val="0"/>
        </w:rPr>
        <w:t>Programme d'invitations à usage unique offrant un forfait complet en essai, sans carte bancaire, avec une séquence de relances et de recueil de feedback entièrement automatisée.</w:t>
      </w:r>
    </w:p>
    <w:p>
      <w:pPr>
        <w:pStyle w:val="Heading2"/>
      </w:pPr>
      <w:r>
        <w:t>8.1 Paramètres actuels (recalibrage d'août)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Paramètre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Valeur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Forfait offert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Praticien (quota 3, 60 crédits/mois)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beta.plan.key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Durée d'essai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30 jours (sans carte bancaire)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beta.trial.days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Relance sans activité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J+2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beta.nudge.hours (48 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Feedback à chaud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après 3 simulations ou J+7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beta.feedback.sims / latestday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Mi-parcours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J+15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beta.midtrial.day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Bilan (NPS)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J+21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beta.bilan.day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Fin d'essai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J+27 (trial_will_end)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dérivé</w:t>
            </w:r>
          </w:p>
        </w:tc>
      </w:tr>
    </w:tbl>
    <w:p>
      <w:pPr>
        <w:spacing w:after="40"/>
      </w:pPr>
    </w:p>
    <w:p>
      <w:r>
        <w:rPr>
          <w:b w:val="0"/>
          <w:i/>
          <w:color w:val="5A6B67"/>
          <w:sz w:val="19"/>
        </w:rPr>
        <w:t>Ces 7 valeurs ont une source de configuration unique (registre BETA_CONFIG + getters lisant app_config, le même mécanisme que les autres réglages admin). Les défauts valent les cibles ; aucune écriture manuelle n'est requise.</w:t>
      </w:r>
    </w:p>
    <w:p>
      <w:pPr>
        <w:pStyle w:val="Heading2"/>
      </w:pPr>
      <w:r>
        <w:t>8.2 Cycle et garanties</w:t>
      </w:r>
    </w:p>
    <w:p>
      <w:pPr>
        <w:pStyle w:val="ListBullet"/>
        <w:spacing w:after="40"/>
      </w:pPr>
      <w:r>
        <w:t>Invitations : codes à usage unique, les cas d'échec renvoient tous le même écran (pas d'énumération des codes valides).</w:t>
      </w:r>
    </w:p>
    <w:p>
      <w:pPr>
        <w:pStyle w:val="ListBullet"/>
        <w:spacing w:after="40"/>
      </w:pPr>
      <w:r>
        <w:t>Réclamation : verrou atomique, rate limiting IP+user, subscriptions.create avec annulation propre au terme (aucune facture).</w:t>
      </w:r>
    </w:p>
    <w:p>
      <w:pPr>
        <w:pStyle w:val="ListBullet"/>
        <w:spacing w:after="40"/>
      </w:pPr>
      <w:r>
        <w:t>Accès en essai : le statut « trialing » est traité comme « active » pour l'accès, mais ne génère aucun revenu ni commission d'affiliation.</w:t>
      </w:r>
    </w:p>
    <w:p>
      <w:pPr>
        <w:pStyle w:val="ListBullet"/>
        <w:spacing w:after="40"/>
      </w:pPr>
      <w:r>
        <w:t>Une seule allocation de crédits pendant l'essai : le périodindex est forcé à 0 pendant trialing (évite une 2e allocation quand l'essai chevauche une bascule de mois).</w:t>
      </w:r>
    </w:p>
    <w:p>
      <w:pPr>
        <w:pStyle w:val="ListBullet"/>
        <w:spacing w:after="40"/>
      </w:pPr>
      <w:r>
        <w:t>Anti-collision des emails : un seul email bêta par jour et par destinataire ; les crons reportent au lendemain au lieu de superposer.</w:t>
      </w:r>
    </w:p>
    <w:p>
      <w:pPr>
        <w:pStyle w:val="Heading2"/>
      </w:pPr>
      <w:r>
        <w:t>8.3 Invariants de sortie (retour à l'état « Découverte »)</w:t>
      </w:r>
    </w:p>
    <w:p>
      <w:r>
        <w:rPr>
          <w:b w:val="0"/>
          <w:i w:val="0"/>
        </w:rPr>
        <w:t>Un testeur non converti doit retomber exactement à l'état d'un compte Découverte. Cinq invariants sont couverts par les scénarios de test (suivi/beta-recalibrage-scenarios.csv) :</w:t>
      </w:r>
    </w:p>
    <w:p>
      <w:pPr>
        <w:pStyle w:val="ListBullet"/>
        <w:spacing w:after="40"/>
      </w:pPr>
      <w:r>
        <w:t>planCredits remis à 0 après annulation (ledger « plan_expired »).</w:t>
      </w:r>
    </w:p>
    <w:p>
      <w:pPr>
        <w:pStyle w:val="ListBullet"/>
        <w:spacing w:after="40"/>
      </w:pPr>
      <w:r>
        <w:t>portefeuille credits intact (packs + crédits offerts non touchés).</w:t>
      </w:r>
    </w:p>
    <w:p>
      <w:pPr>
        <w:pStyle w:val="ListBullet"/>
        <w:spacing w:after="40"/>
      </w:pPr>
      <w:r>
        <w:t>les choix de spécialité deviennent inopérants sans suppression de ligne : une seule spécialité honorée (la plus récemment active), les autres verrouillées.</w:t>
      </w:r>
    </w:p>
    <w:p>
      <w:pPr>
        <w:pStyle w:val="ListBullet"/>
        <w:spacing w:after="40"/>
      </w:pPr>
      <w:r>
        <w:t>la séance N3 de découverte à vie (discoveryInterviewUsedAt) est inchangée.</w:t>
      </w:r>
    </w:p>
    <w:p>
      <w:pPr>
        <w:pStyle w:val="ListBullet"/>
        <w:spacing w:after="40"/>
      </w:pPr>
      <w:r>
        <w:t>la progression (Attempt, UserCompetencyState) est intacte.</w:t>
      </w:r>
    </w:p>
    <w:p>
      <w:r>
        <w:rPr>
          <w:b w:val="0"/>
          <w:i w:val="0"/>
        </w:rPr>
        <w:t>Échange unique post-rétrogradation : un compte redescendu peut changer une fois sa spécialité active, uniquement parmi ses choix antérieurs (épinglage). Réinitialisé au réabonnement. Ce correctif s'applique aussi aux résiliations payantes.</w:t>
      </w:r>
    </w:p>
    <w:p>
      <w:pPr>
        <w:pStyle w:val="Heading1"/>
      </w:pPr>
      <w:r>
        <w:t>9. Programme d'affiliation « Ambassadeurs »</w:t>
      </w:r>
    </w:p>
    <w:p>
      <w:pPr>
        <w:pStyle w:val="ListBullet"/>
        <w:spacing w:after="40"/>
      </w:pPr>
      <w:r>
        <w:t>Parrainage 2 niveaux, commission récurrente à vie ; le niveau 2 est dérivé, jamais stocké (contrainte légale anti-système pyramidal).</w:t>
      </w:r>
    </w:p>
    <w:p>
      <w:pPr>
        <w:pStyle w:val="ListBullet"/>
        <w:spacing w:after="40"/>
      </w:pPr>
      <w:r>
        <w:t>Attribution par cookie ts_ref (first-touch), résolue à l'inscription.</w:t>
      </w:r>
    </w:p>
    <w:p>
      <w:pPr>
        <w:pStyle w:val="ListBullet"/>
        <w:spacing w:after="40"/>
      </w:pPr>
      <w:r>
        <w:t>Demandes de paiement (facture par email, seuil configurable) ; solde remis à zéro uniquement par l'admin.</w:t>
      </w:r>
    </w:p>
    <w:p>
      <w:pPr>
        <w:pStyle w:val="ListBullet"/>
        <w:spacing w:after="40"/>
      </w:pPr>
      <w:r>
        <w:t>Volet écoles B2B (commission manuelle) et kit de diffusion prêt à l'emploi (textes + visuels).</w:t>
      </w:r>
    </w:p>
    <w:p>
      <w:pPr>
        <w:pStyle w:val="ListBullet"/>
        <w:spacing w:after="40"/>
      </w:pPr>
      <w:r>
        <w:t>Commission calculée sur invoice.paid ; clawback best-effort sur charge.refunded. Un essai bêta ne génère aucune commission.</w:t>
      </w:r>
    </w:p>
    <w:p>
      <w:r>
        <w:rPr>
          <w:b w:val="0"/>
          <w:i/>
          <w:color w:val="5A6B67"/>
          <w:sz w:val="19"/>
        </w:rPr>
        <w:t>Spécification dédiée : Conception/spec-affiliation-ambassadeurs.md.</w:t>
      </w:r>
    </w:p>
    <w:p>
      <w:pPr>
        <w:pStyle w:val="Heading1"/>
      </w:pPr>
      <w:r>
        <w:t>10. Formations, sessions live et supervision</w:t>
      </w:r>
    </w:p>
    <w:p>
      <w:pPr>
        <w:pStyle w:val="Heading2"/>
      </w:pPr>
      <w:r>
        <w:t>10.1 Sessions live — études de cas animées</w:t>
      </w:r>
    </w:p>
    <w:p>
      <w:pPr>
        <w:pStyle w:val="ListBullet"/>
        <w:spacing w:after="40"/>
      </w:pPr>
      <w:r>
        <w:t>Le formateur crée une session, l'ouvre (sas d'attente), puis déclenche le compte à rebours (durée ajustable).</w:t>
      </w:r>
    </w:p>
    <w:p>
      <w:pPr>
        <w:pStyle w:val="ListBullet"/>
        <w:spacing w:after="40"/>
      </w:pPr>
      <w:r>
        <w:t>Participants anonymes (prénom/nom), deux modes (évaluation / apprentissage), multi-référentiel.</w:t>
      </w:r>
    </w:p>
    <w:p>
      <w:pPr>
        <w:pStyle w:val="ListBullet"/>
        <w:spacing w:after="40"/>
      </w:pPr>
      <w:r>
        <w:t>Tableau de bord live : par compétence, par catégorie, individuels ; export CSV des résultats.</w:t>
      </w:r>
    </w:p>
    <w:p>
      <w:pPr>
        <w:pStyle w:val="Heading2"/>
      </w:pPr>
      <w:r>
        <w:t>10.2 Formations &amp; modules</w:t>
      </w:r>
    </w:p>
    <w:p>
      <w:r>
        <w:rPr>
          <w:b w:val="0"/>
          <w:i w:val="0"/>
        </w:rPr>
        <w:t>Une formation regroupe des modules ; un module couvre plusieurs référentiels et compétences. Une session live peut être lancée par module ou pour toute la formation (résultats agrégés).</w:t>
      </w:r>
    </w:p>
    <w:p>
      <w:pPr>
        <w:pStyle w:val="Heading2"/>
      </w:pPr>
      <w:r>
        <w:t>10.3 Supervision formateur</w:t>
      </w:r>
    </w:p>
    <w:p>
      <w:pPr>
        <w:pStyle w:val="ListBullet"/>
        <w:spacing w:after="40"/>
      </w:pPr>
      <w:r>
        <w:t>Liste des apprenants du tenant + activité (dernier essai, nombre d'exercices, de mises en situation), recherche par email.</w:t>
      </w:r>
    </w:p>
    <w:p>
      <w:pPr>
        <w:pStyle w:val="ListBullet"/>
        <w:spacing w:after="40"/>
      </w:pPr>
      <w:r>
        <w:t>Fiche apprenant : progression par référentiel (jamais de moyenne cross-référentiel), historique des simulations, fil de notes du formateur.</w:t>
      </w:r>
    </w:p>
    <w:p>
      <w:pPr>
        <w:pStyle w:val="ListBullet"/>
        <w:spacing w:after="40"/>
      </w:pPr>
      <w:r>
        <w:t>Relecture en lecture seule d'un entretien (transcript + débrief) ; toute lecture vérifiée cross-tenant.</w:t>
      </w:r>
    </w:p>
    <w:p>
      <w:pPr>
        <w:pStyle w:val="Heading1"/>
      </w:pPr>
      <w:r>
        <w:t>11. Simulation IA — expérience</w:t>
      </w:r>
    </w:p>
    <w:p>
      <w:pPr>
        <w:pStyle w:val="ListBullet"/>
        <w:spacing w:after="40"/>
      </w:pPr>
      <w:r>
        <w:t>Patient incarné par un LLM, réactif à la posture ; réponse streamée au fil de l'eau (SSE), indicateur « le patient réfléchit… ».</w:t>
      </w:r>
    </w:p>
    <w:p>
      <w:pPr>
        <w:pStyle w:val="ListBullet"/>
        <w:spacing w:after="40"/>
      </w:pPr>
      <w:r>
        <w:t>Auto-évaluation de l'apprenant (1-5) avant la note IA ; le débrief affiche « vous : X/5 · IA : Y/5 ».</w:t>
      </w:r>
    </w:p>
    <w:p>
      <w:pPr>
        <w:pStyle w:val="ListBullet"/>
        <w:spacing w:after="40"/>
      </w:pPr>
      <w:r>
        <w:t>« Moments clés » rattachés au message correspondant du transcript et surlignés en contexte.</w:t>
      </w:r>
    </w:p>
    <w:p>
      <w:pPr>
        <w:pStyle w:val="ListBullet"/>
        <w:spacing w:after="40"/>
      </w:pPr>
      <w:r>
        <w:t>Portraits patients illustrés déterministes (même seed = même visage), générés côté serveur.</w:t>
      </w:r>
    </w:p>
    <w:p>
      <w:pPr>
        <w:pStyle w:val="ListBullet"/>
        <w:spacing w:after="40"/>
      </w:pPr>
      <w:r>
        <w:t>Célébration animée au franchissement d'un palier « solide » ou « maîtrisé ».</w:t>
      </w:r>
    </w:p>
    <w:p>
      <w:pPr>
        <w:pStyle w:val="ListBullet"/>
        <w:spacing w:after="40"/>
      </w:pPr>
      <w:r>
        <w:t>Démo publique jouable sans compte : mini-scène N2 (choix d'un cas réel, 4 tours, micro-débrief gratuit), sans état serveur ni donnée personnelle, avec garde-fous de coût et repli silencieux.</w:t>
      </w:r>
    </w:p>
    <w:p>
      <w:pPr>
        <w:pStyle w:val="Heading1"/>
      </w:pPr>
      <w:r>
        <w:t>12. Sécurité, conformité et conventions</w:t>
      </w:r>
    </w:p>
    <w:p>
      <w:pPr>
        <w:pStyle w:val="Heading2"/>
      </w:pPr>
      <w:r>
        <w:t>12.1 RGPD et sécurité</w:t>
      </w:r>
    </w:p>
    <w:p>
      <w:pPr>
        <w:pStyle w:val="ListBullet"/>
        <w:spacing w:after="40"/>
      </w:pPr>
      <w:r>
        <w:t>Consentement horodaté à l'inscription ; usage LLM « support » verrouillé sur l'UE (Mistral).</w:t>
      </w:r>
    </w:p>
    <w:p>
      <w:pPr>
        <w:pStyle w:val="ListBullet"/>
        <w:spacing w:after="40"/>
      </w:pPr>
      <w:r>
        <w:t>Mesure d'audience first-party (funnel_events) sans donnée personnelle (pas d'IP ni user-agent stockés).</w:t>
      </w:r>
    </w:p>
    <w:p>
      <w:pPr>
        <w:pStyle w:val="ListBullet"/>
        <w:spacing w:after="40"/>
      </w:pPr>
      <w:r>
        <w:t>Aucune fuite de corrigé ; entrées non fiables bornées et assainies ; prompt patient durci anti-injection.</w:t>
      </w:r>
    </w:p>
    <w:p>
      <w:pPr>
        <w:pStyle w:val="ListBullet"/>
        <w:spacing w:after="40"/>
      </w:pPr>
      <w:r>
        <w:t>Isolation multi-tenant vérifiée sur toutes les routes ; audit des opérations sensibles.</w:t>
      </w:r>
    </w:p>
    <w:p>
      <w:r>
        <w:rPr>
          <w:b w:val="0"/>
          <w:i/>
          <w:color w:val="5A6B67"/>
          <w:sz w:val="19"/>
        </w:rPr>
        <w:t>Point de vigilance connu : la suppression de compte ne nettoie pas encore toutes les tables liées (droit à l'effacement) — à traiter avant un volume important de comptes réels.</w:t>
      </w:r>
    </w:p>
    <w:p>
      <w:pPr>
        <w:pStyle w:val="Heading2"/>
      </w:pPr>
      <w:r>
        <w:t>12.2 Conventions techniques structurantes</w:t>
      </w:r>
    </w:p>
    <w:p>
      <w:pPr>
        <w:pStyle w:val="ListBullet"/>
        <w:spacing w:after="40"/>
      </w:pPr>
      <w:r>
        <w:rPr>
          <w:b/>
        </w:rPr>
        <w:t xml:space="preserve">Statuts : </w:t>
      </w:r>
      <w:r>
        <w:t>les champs de statut sont des String (union TS as const + zod), jamais d'enum Prisma — une seule convention, et enum Postgres + db:push est un couple destructif.</w:t>
      </w:r>
    </w:p>
    <w:p>
      <w:pPr>
        <w:pStyle w:val="ListBullet"/>
        <w:spacing w:after="40"/>
      </w:pPr>
      <w:r>
        <w:rPr>
          <w:b/>
        </w:rPr>
        <w:t xml:space="preserve">Migrations : </w:t>
      </w:r>
      <w:r>
        <w:t>tout changement de schéma passe par db:migrate:new → relecture du SQL → db:migrate:deploy. Jamais de db:push sur la production.</w:t>
      </w:r>
    </w:p>
    <w:p>
      <w:pPr>
        <w:pStyle w:val="ListBullet"/>
        <w:spacing w:after="40"/>
      </w:pPr>
      <w:r>
        <w:rPr>
          <w:b/>
        </w:rPr>
        <w:t xml:space="preserve">Build : </w:t>
      </w:r>
      <w:r>
        <w:t>npm run build en local avant chaque push (Vercel échoue sur la moindre erreur TypeScript).</w:t>
      </w:r>
    </w:p>
    <w:p>
      <w:pPr>
        <w:pStyle w:val="ListBullet"/>
        <w:spacing w:after="40"/>
      </w:pPr>
      <w:r>
        <w:rPr>
          <w:b/>
        </w:rPr>
        <w:t xml:space="preserve">Configuration : </w:t>
      </w:r>
      <w:r>
        <w:t>rien en dur qui doive vivre en configuration admin ; source unique par valeur.</w:t>
      </w:r>
    </w:p>
    <w:p>
      <w:pPr>
        <w:pStyle w:val="Heading2"/>
      </w:pPr>
      <w:r>
        <w:t>12.3 Migrations — état</w:t>
      </w:r>
    </w:p>
    <w:p>
      <w:r>
        <w:rPr>
          <w:b w:val="0"/>
          <w:i w:val="0"/>
        </w:rPr>
        <w:t>La production est passée de db:push à des migrations relues et historisées. Le baseline 0_init a été réconcilié (régénéré depuis le schéma courant, anciennes migrations archivées). La première vraie migration post-baseline (colonnes last_beta_email_at et pinned_at) a été créée, relue et déployée proprement — le circuit fonctionne de bout en bout.</w:t>
      </w:r>
    </w:p>
    <w:p>
      <w:pPr>
        <w:pStyle w:val="Heading1"/>
      </w:pPr>
      <w:r>
        <w:t>13. Administration et mesure</w:t>
      </w:r>
    </w:p>
    <w:p>
      <w:pPr>
        <w:pStyle w:val="Heading2"/>
      </w:pPr>
      <w:r>
        <w:t>13.1 Consoles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Espace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19"/>
              </w:rPr>
              <w:t>Contenu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/admin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Vue d'ensemble, plateformes clientes, packs, branding, statuts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/admin/referentiels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Contenu : structure, cartes, génération 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/admin/facturation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Forfaits, quotas, offres à l'unité, gratuits, abonnements + re-sync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/admin/modeles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Fournisseur + modèle LLM par usage, garde-fous coût démo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/admin/usage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Garde-fous d'usage loyal des forfaits « sans compter 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/admin/beta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Invitations, feedback, bilans, témoignages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/admin/support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Tickets + assistance IA (projet de réponse)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/admin/affiliation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Ambassadeurs, commissions, demandes de paiement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/gestion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Admin de plateforme : membres (formateurs / apprenants)</w:t>
            </w:r>
          </w:p>
        </w:tc>
      </w:tr>
    </w:tbl>
    <w:p>
      <w:pPr>
        <w:spacing w:after="40"/>
      </w:pPr>
    </w:p>
    <w:p>
      <w:pPr>
        <w:pStyle w:val="Heading2"/>
      </w:pPr>
      <w:r>
        <w:t>13.2 Mesure d'acquisition (entonnoir)</w:t>
      </w:r>
    </w:p>
    <w:p>
      <w:r>
        <w:rPr>
          <w:b w:val="0"/>
          <w:i w:val="0"/>
        </w:rPr>
        <w:t>Mesure first-party de l'entonnoir : landing_view, demo_start, signup_start, signup_complete, activation, checkout_start, purchase. Les conversions confirmées sont écrites côté serveur (fiables) ; seul le haut d'entonnoir anonyme passe par un petit beacon client. Tableau de bord avec taux étape→étape et bannière honnête « volume faible » sous un seuil.</w:t>
      </w:r>
    </w:p>
    <w:p>
      <w:pPr>
        <w:pStyle w:val="Heading1"/>
      </w:pPr>
      <w:r>
        <w:t>14. État d'avancement et suite</w:t>
      </w:r>
    </w:p>
    <w:p>
      <w:r>
        <w:rPr>
          <w:b w:val="0"/>
          <w:i w:val="0"/>
        </w:rPr>
        <w:t>48 modules livrés à date. Les fichiers de suivi vivant (suivi/contexte/) détaillent chaque module, les décisions et le journal de bord ; le plan de test est dans suivi/PLAN_DE_TEST.md.</w:t>
      </w:r>
    </w:p>
    <w:p>
      <w:pPr>
        <w:pStyle w:val="Heading2"/>
      </w:pPr>
      <w:r>
        <w:t>14.1 Reste à faire prioritaire</w:t>
      </w:r>
    </w:p>
    <w:p>
      <w:pPr>
        <w:pStyle w:val="ListBullet"/>
        <w:spacing w:after="40"/>
      </w:pPr>
      <w:r>
        <w:t>Validation clinique du contenu et calibration de l'évaluateur par référentiel avant usage sérieux.</w:t>
      </w:r>
    </w:p>
    <w:p>
      <w:pPr>
        <w:pStyle w:val="ListBullet"/>
        <w:spacing w:after="40"/>
      </w:pPr>
      <w:r>
        <w:t>Bêta 30 j : lancer les 2 passes Test Clock + tests DB (cf. suivi/beta-recalibrage-scenarios.csv).</w:t>
      </w:r>
    </w:p>
    <w:p>
      <w:pPr>
        <w:pStyle w:val="ListBullet"/>
        <w:spacing w:after="40"/>
      </w:pPr>
      <w:r>
        <w:t>Suppression de compte : nettoyage complet des tables liées (RGPD).</w:t>
      </w:r>
    </w:p>
    <w:p>
      <w:pPr>
        <w:pStyle w:val="ListBullet"/>
        <w:spacing w:after="40"/>
      </w:pPr>
      <w:r>
        <w:t>Page politique de confidentialité dédiée ; double opt-in email.</w:t>
      </w:r>
    </w:p>
    <w:p>
      <w:pPr>
        <w:pStyle w:val="ListBullet"/>
        <w:spacing w:after="40"/>
      </w:pPr>
      <w:r>
        <w:t>Application visuelle du branding côté apprenant ; sous-domaine par tenant (B2B).</w:t>
      </w:r>
    </w:p>
    <w:p>
      <w:pPr>
        <w:pStyle w:val="ListBullet"/>
        <w:spacing w:after="40"/>
      </w:pPr>
      <w:r>
        <w:t>Import PDF d'un support de formation → génération d'une session (chantier suivant).</w:t>
      </w:r>
    </w:p>
    <w:p>
      <w:pPr>
        <w:pStyle w:val="Heading2"/>
      </w:pPr>
      <w:r>
        <w:t>14.2 Garde-fous à ne jamais oublier</w:t>
      </w:r>
    </w:p>
    <w:p>
      <w:pPr>
        <w:pStyle w:val="ListBullet"/>
        <w:spacing w:after="40"/>
      </w:pPr>
      <w:r>
        <w:t>Cas réalistes mais fictifs (jamais de patient réel ; secret professionnel).</w:t>
      </w:r>
    </w:p>
    <w:p>
      <w:pPr>
        <w:pStyle w:val="ListBullet"/>
        <w:spacing w:after="40"/>
      </w:pPr>
      <w:r>
        <w:t>Reconnaissance avant production pour les débutants.</w:t>
      </w:r>
    </w:p>
    <w:p>
      <w:pPr>
        <w:pStyle w:val="ListBullet"/>
        <w:spacing w:after="40"/>
      </w:pPr>
      <w:r>
        <w:t>Ne pas glisser vers une application de quiz : la simulation ouverte (N3) reste l'aboutissement.</w:t>
      </w:r>
    </w:p>
    <w:p>
      <w:pPr>
        <w:pStyle w:val="ListBullet"/>
        <w:spacing w:after="40"/>
      </w:pPr>
      <w:r>
        <w:t>Formatif, non certifiant : pas de notation officielle sans validation juridique (AI Act).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67"/>
        <w:sz w:val="16"/>
      </w:rPr>
      <w:t>MELETA — Spécification complète — document interne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A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6B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46B5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