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B3A5C" w:val="clear"/>
        <w:spacing w:before="100" w:after="0"/>
      </w:pPr>
      <w:r>
        <w:rPr>
          <w:rFonts w:ascii="Arial" w:cs="Arial" w:eastAsia="Arial" w:hAnsi="Arial"/>
          <w:b/>
          <w:bCs/>
          <w:color w:val="FFFFFF"/>
          <w:sz w:val="52"/>
          <w:szCs w:val="52"/>
        </w:rPr>
        <w:t xml:space="preserve">DEEL</w:t>
      </w:r>
      <w:r>
        <w:rPr>
          <w:rFonts w:ascii="Arial" w:cs="Arial" w:eastAsia="Arial" w:hAnsi="Arial"/>
          <w:color w:val="93C5FD"/>
          <w:sz w:val="22"/>
          <w:szCs w:val="22"/>
        </w:rPr>
        <w:t xml:space="preserve">   ·   ACCÉLÉRATION DE L'ACQUISITION B2B EN EUROPE</w:t>
      </w:r>
    </w:p>
    <w:p>
      <w:pPr>
        <w:shd w:fill="E84C4C" w:val="clear"/>
        <w:spacing w:before="0" w:after="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NOTE D'OPPORTUNITÉ STRATÉGIQUE — DIRECTION GÉNÉRALE</w:t>
      </w:r>
    </w:p>
    <w:p>
      <w:pPr>
        <w:spacing w:before="0" w:after="0"/>
      </w:pPr>
      <w:r>
        <w:rPr>
          <w:rFonts w:ascii="Arial" w:cs="Arial" w:eastAsia="Arial" w:hAnsi="Arial"/>
          <w:sz w:val="8"/>
          <w:szCs w:val="8"/>
        </w:rPr>
        <w:t xml:space="preserve"/>
      </w:r>
    </w:p>
    <w:p>
      <w:pPr>
        <w:pBdr>
          <w:left w:val="single" w:color="E84C4C" w:sz="16"/>
        </w:pBdr>
        <w:shd w:fill="FEE8E8" w:val="clear"/>
        <w:spacing w:before="80" w:after="40"/>
        <w:ind w:left="140" w:right="140"/>
      </w:pPr>
      <w:r>
        <w:rPr>
          <w:rFonts w:ascii="Arial" w:cs="Arial" w:eastAsia="Arial" w:hAnsi="Arial"/>
          <w:b/>
          <w:bCs/>
          <w:color w:val="E84C4C"/>
          <w:sz w:val="19"/>
          <w:szCs w:val="19"/>
        </w:rPr>
        <w:t xml:space="preserve">❯  PROBLÉMATIQUE SMART : </w:t>
      </w:r>
      <w:r>
        <w:rPr>
          <w:rFonts w:ascii="Arial" w:cs="Arial" w:eastAsia="Arial" w:hAnsi="Arial"/>
          <w:b/>
          <w:bCs/>
          <w:color w:val="1A202C"/>
          <w:sz w:val="19"/>
          <w:szCs w:val="19"/>
        </w:rPr>
        <w:t xml:space="preserve">Comment Deel peut-il augmenter de +20% ses MQL en Europe d'ici 12 mois — passant de ~5 000 à ~6 000 MQL/an — tout en réduisant son CAC de 15% (de ~1 800€ à ~1 530€), afin d'atteindre un ROI positif sur investissement marketing dès le mois 8 ?</w:t>
      </w:r>
    </w:p>
    <w:p>
      <w:pPr>
        <w:spacing w:before="40" w:after="40"/>
      </w:pPr>
      <w:r>
        <w:rPr>
          <w:rFonts w:ascii="Arial" w:cs="Arial" w:eastAsia="Arial" w:hAnsi="Arial"/>
          <w:b w:val="false"/>
          <w:bCs w:val="false"/>
          <w:i/>
          <w:iCs/>
          <w:color w:val="4A5568"/>
          <w:sz w:val="18"/>
          <w:szCs w:val="18"/>
        </w:rPr>
        <w:t xml:space="preserve">Benchmark ABM SaaS B2B (McKinsey 2024) : +18–25% MQL sur 12 mois avec acquisition sectorielle. Budget de 273 000€ &lt; 0,03% de l'ARR — pleinement absorbable. Cycle de vente actuel estimé à 52 jours vs benchmark secteur 38 jours (Gartner 2024).</w:t>
      </w:r>
    </w:p>
    <w:p>
      <w:pPr>
        <w:spacing w:before="0" w:after="0"/>
      </w:pPr>
      <w:r>
        <w:rPr>
          <w:rFonts w:ascii="Arial" w:cs="Arial" w:eastAsia="Arial" w:hAnsi="Arial"/>
          <w:sz w:val="8"/>
          <w:szCs w:val="8"/>
        </w:rPr>
        <w:t xml:space="preserve"/>
      </w:r>
    </w:p>
    <w:p>
      <w:pPr>
        <w:pBdr>
          <w:bottom w:val="single" w:color="E84C4C" w:sz="2"/>
        </w:pBdr>
        <w:shd w:fill="1B3A5C" w:val="clear"/>
        <w:spacing w:before="180" w:after="6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  1.  DIAGNOSTIC STRATÉGIQUE</w:t>
      </w:r>
    </w:p>
    <w:p>
      <w:pPr>
        <w:pBdr>
          <w:left w:val="single" w:color="E84C4C" w:sz="10"/>
        </w:pBdr>
        <w:spacing w:before="120" w:after="40"/>
        <w:ind w:left="160"/>
      </w:pPr>
      <w:r>
        <w:rPr>
          <w:rFonts w:ascii="Arial" w:cs="Arial" w:eastAsia="Arial" w:hAnsi="Arial"/>
          <w:b/>
          <w:bCs/>
          <w:color w:val="1B3A5C"/>
          <w:sz w:val="19"/>
          <w:szCs w:val="19"/>
        </w:rPr>
        <w:t xml:space="preserve">Analyse concurrentielle &amp; stratégies digitales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700"/>
        <w:gridCol w:w="2700"/>
        <w:gridCol w:w="2706"/>
      </w:tblGrid>
      <w:tr>
        <w:trPr>
          <w:tblHeader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5C" w:val="clear"/>
            <w:tcMar>
              <w:top w:type="dxa" w:w="44"/>
              <w:left w:type="dxa" w:w="90"/>
              <w:bottom w:type="dxa" w:w="44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Critère</w:t>
            </w:r>
          </w:p>
        </w:tc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5C" w:val="clear"/>
            <w:tcMar>
              <w:top w:type="dxa" w:w="44"/>
              <w:left w:type="dxa" w:w="90"/>
              <w:bottom w:type="dxa" w:w="44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Deel</w:t>
            </w:r>
          </w:p>
        </w:tc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5C" w:val="clear"/>
            <w:tcMar>
              <w:top w:type="dxa" w:w="44"/>
              <w:left w:type="dxa" w:w="90"/>
              <w:bottom w:type="dxa" w:w="44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Remote</w:t>
            </w:r>
          </w:p>
        </w:tc>
        <w:tc>
          <w:tcPr>
            <w:tcW w:type="dxa" w:w="27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5C" w:val="clear"/>
            <w:tcMar>
              <w:top w:type="dxa" w:w="44"/>
              <w:left w:type="dxa" w:w="90"/>
              <w:bottom w:type="dxa" w:w="44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Oyster HR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44"/>
              <w:left w:type="dxa" w:w="90"/>
              <w:bottom w:type="dxa" w:w="44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7"/>
                <w:szCs w:val="17"/>
              </w:rPr>
              <w:t xml:space="preserve">SEO / trafic organique</w:t>
            </w:r>
          </w:p>
        </w:tc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44"/>
              <w:left w:type="dxa" w:w="90"/>
              <w:bottom w:type="dxa" w:w="44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7"/>
                <w:szCs w:val="17"/>
              </w:rPr>
              <w:t xml:space="preserve">DA 68 – ~220k visites/mois</w:t>
            </w:r>
          </w:p>
        </w:tc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44"/>
              <w:left w:type="dxa" w:w="90"/>
              <w:bottom w:type="dxa" w:w="44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7"/>
                <w:szCs w:val="17"/>
              </w:rPr>
              <w:t xml:space="preserve">DA 72 – ~300k visites/mois ⚠️</w:t>
            </w:r>
          </w:p>
        </w:tc>
        <w:tc>
          <w:tcPr>
            <w:tcW w:type="dxa" w:w="27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44"/>
              <w:left w:type="dxa" w:w="90"/>
              <w:bottom w:type="dxa" w:w="44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7"/>
                <w:szCs w:val="17"/>
              </w:rPr>
              <w:t xml:space="preserve">DA 61 – ~95k visites/mois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9" w:val="clear"/>
            <w:tcMar>
              <w:top w:type="dxa" w:w="44"/>
              <w:left w:type="dxa" w:w="90"/>
              <w:bottom w:type="dxa" w:w="44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7"/>
                <w:szCs w:val="17"/>
              </w:rPr>
              <w:t xml:space="preserve">Contenu B2B</w:t>
            </w:r>
          </w:p>
        </w:tc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9" w:val="clear"/>
            <w:tcMar>
              <w:top w:type="dxa" w:w="44"/>
              <w:left w:type="dxa" w:w="90"/>
              <w:bottom w:type="dxa" w:w="44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7"/>
                <w:szCs w:val="17"/>
              </w:rPr>
              <w:t xml:space="preserve">Guides généraux</w:t>
            </w:r>
          </w:p>
        </w:tc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9" w:val="clear"/>
            <w:tcMar>
              <w:top w:type="dxa" w:w="44"/>
              <w:left w:type="dxa" w:w="90"/>
              <w:bottom w:type="dxa" w:w="44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7"/>
                <w:szCs w:val="17"/>
              </w:rPr>
              <w:t xml:space="preserve">Guides pays (fort long-tail)</w:t>
            </w:r>
          </w:p>
        </w:tc>
        <w:tc>
          <w:tcPr>
            <w:tcW w:type="dxa" w:w="27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9" w:val="clear"/>
            <w:tcMar>
              <w:top w:type="dxa" w:w="44"/>
              <w:left w:type="dxa" w:w="90"/>
              <w:bottom w:type="dxa" w:w="44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7"/>
                <w:szCs w:val="17"/>
              </w:rPr>
              <w:t xml:space="preserve">50+ articles/mois, partenariats HRIS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44"/>
              <w:left w:type="dxa" w:w="90"/>
              <w:bottom w:type="dxa" w:w="44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7"/>
                <w:szCs w:val="17"/>
              </w:rPr>
              <w:t xml:space="preserve">Pricing affiché</w:t>
            </w:r>
          </w:p>
        </w:tc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44"/>
              <w:left w:type="dxa" w:w="90"/>
              <w:bottom w:type="dxa" w:w="44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7"/>
                <w:szCs w:val="17"/>
              </w:rPr>
              <w:t xml:space="preserve">Opaque / sur devis</w:t>
            </w:r>
          </w:p>
        </w:tc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44"/>
              <w:left w:type="dxa" w:w="90"/>
              <w:bottom w:type="dxa" w:w="44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7"/>
                <w:szCs w:val="17"/>
              </w:rPr>
              <w:t xml:space="preserve">599 $/EOR – transparent ✓</w:t>
            </w:r>
          </w:p>
        </w:tc>
        <w:tc>
          <w:tcPr>
            <w:tcW w:type="dxa" w:w="27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44"/>
              <w:left w:type="dxa" w:w="90"/>
              <w:bottom w:type="dxa" w:w="44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7"/>
                <w:szCs w:val="17"/>
              </w:rPr>
              <w:t xml:space="preserve">599 $/EOR – transparent ✓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9" w:val="clear"/>
            <w:tcMar>
              <w:top w:type="dxa" w:w="44"/>
              <w:left w:type="dxa" w:w="90"/>
              <w:bottom w:type="dxa" w:w="44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7"/>
                <w:szCs w:val="17"/>
              </w:rPr>
              <w:t xml:space="preserve">LinkedIn Ads</w:t>
            </w:r>
          </w:p>
        </w:tc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9" w:val="clear"/>
            <w:tcMar>
              <w:top w:type="dxa" w:w="44"/>
              <w:left w:type="dxa" w:w="90"/>
              <w:bottom w:type="dxa" w:w="44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7"/>
                <w:szCs w:val="17"/>
              </w:rPr>
              <w:t xml:space="preserve">Campagnes génériques</w:t>
            </w:r>
          </w:p>
        </w:tc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9" w:val="clear"/>
            <w:tcMar>
              <w:top w:type="dxa" w:w="44"/>
              <w:left w:type="dxa" w:w="90"/>
              <w:bottom w:type="dxa" w:w="44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7"/>
                <w:szCs w:val="17"/>
              </w:rPr>
              <w:t xml:space="preserve">Retargeting segmenté par ICP</w:t>
            </w:r>
          </w:p>
        </w:tc>
        <w:tc>
          <w:tcPr>
            <w:tcW w:type="dxa" w:w="27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9" w:val="clear"/>
            <w:tcMar>
              <w:top w:type="dxa" w:w="44"/>
              <w:left w:type="dxa" w:w="90"/>
              <w:bottom w:type="dxa" w:w="44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7"/>
                <w:szCs w:val="17"/>
              </w:rPr>
              <w:t xml:space="preserve">Ciblage vertical FinTech/SaaS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b/>
          <w:bCs/>
          <w:i w:val="false"/>
          <w:iCs w:val="false"/>
          <w:color w:val="E84C4C"/>
          <w:sz w:val="18"/>
          <w:szCs w:val="18"/>
        </w:rPr>
        <w:t xml:space="preserve">⚠️  Remote capte 36% de trafic organique de plus sur les requêtes 'hire internationally Europe'. Ce différentiel SEO se creuse chaque mois sans intervention.</w:t>
      </w:r>
    </w:p>
    <w:p>
      <w:pPr>
        <w:spacing w:before="0" w:after="0"/>
      </w:pPr>
      <w:r>
        <w:rPr>
          <w:rFonts w:ascii="Arial" w:cs="Arial" w:eastAsia="Arial" w:hAnsi="Arial"/>
          <w:sz w:val="8"/>
          <w:szCs w:val="8"/>
        </w:rPr>
        <w:t xml:space="preserve"/>
      </w:r>
    </w:p>
    <w:p>
      <w:pPr>
        <w:pBdr>
          <w:left w:val="single" w:color="E84C4C" w:sz="10"/>
        </w:pBdr>
        <w:spacing w:before="120" w:after="40"/>
        <w:ind w:left="160"/>
      </w:pPr>
      <w:r>
        <w:rPr>
          <w:rFonts w:ascii="Arial" w:cs="Arial" w:eastAsia="Arial" w:hAnsi="Arial"/>
          <w:b/>
          <w:bCs/>
          <w:color w:val="1B3A5C"/>
          <w:sz w:val="19"/>
          <w:szCs w:val="19"/>
        </w:rPr>
        <w:t xml:space="preserve">SWOT synthétique &amp; Modèle économique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53"/>
        <w:gridCol w:w="5053"/>
      </w:tblGrid>
      <w:tr>
        <w:trPr>
          <w:tblHeader/>
        </w:trPr>
        <w:tc>
          <w:tcPr>
            <w:tcW w:type="dxa" w:w="505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5C" w:val="clear"/>
            <w:tcMar>
              <w:top w:type="dxa" w:w="44"/>
              <w:left w:type="dxa" w:w="90"/>
              <w:bottom w:type="dxa" w:w="44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OPPORTUNITÉS / FORCES</w:t>
            </w:r>
          </w:p>
        </w:tc>
        <w:tc>
          <w:tcPr>
            <w:tcW w:type="dxa" w:w="505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5C" w:val="clear"/>
            <w:tcMar>
              <w:top w:type="dxa" w:w="44"/>
              <w:left w:type="dxa" w:w="90"/>
              <w:bottom w:type="dxa" w:w="44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MENACES / FAIBLESSES</w:t>
            </w:r>
          </w:p>
        </w:tc>
      </w:tr>
      <w:tr>
        <w:tc>
          <w:tcPr>
            <w:tcW w:type="dxa" w:w="505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44"/>
              <w:left w:type="dxa" w:w="90"/>
              <w:bottom w:type="dxa" w:w="44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7"/>
                <w:szCs w:val="17"/>
              </w:rPr>
              <w:t xml:space="preserve">✦ Marché EOR EU : 4,2 Md$ CAGR +15% (GVR 2025)
✦ Scale-ups tech EU ×2,4 en 3 ans → ICP idéal
✦ Seule plateforme EOR+Payroll+HRIS : 150 pays / 37k clients
✦ Capacité d'invest. supérieure (val. &gt;12 Md$)</w:t>
            </w:r>
          </w:p>
        </w:tc>
        <w:tc>
          <w:tcPr>
            <w:tcW w:type="dxa" w:w="505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44"/>
              <w:left w:type="dxa" w:w="90"/>
              <w:bottom w:type="dxa" w:w="44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7"/>
                <w:szCs w:val="17"/>
              </w:rPr>
              <w:t xml:space="preserve">✦ Remote/Oyster industrialisent leur acquisition digitale
✦ Pricing opaque = friction vs concurrents transparents
✦ CAC EU ~1 800€ vs ~1 200€ Remote (Forrester 2024)
✦ Taux conv. visiteur→lead 1,8% vs benchmark 2,5–3,5%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b w:val="false"/>
          <w:bCs w:val="false"/>
          <w:i/>
          <w:iCs/>
          <w:color w:val="4A5568"/>
          <w:sz w:val="18"/>
          <w:szCs w:val="18"/>
        </w:rPr>
        <w:t xml:space="preserve">Modèle éco : revenus via abonnements EOR (~599$/emp/mois), contractors (49$/mois) et add-ons HRIS. LTV mid-market estimée 85–250 k€ sur 36 mois. Marge brute ~65–70%. Ce ratio LTV/CAC justifie un CAC cible jusqu'à 2 000€ — marge de manœuvre supérieure à celle de Remote.</w:t>
      </w:r>
    </w:p>
    <w:p>
      <w:pPr>
        <w:spacing w:before="0" w:after="0"/>
      </w:pPr>
      <w:r>
        <w:rPr>
          <w:rFonts w:ascii="Arial" w:cs="Arial" w:eastAsia="Arial" w:hAnsi="Arial"/>
          <w:sz w:val="8"/>
          <w:szCs w:val="8"/>
        </w:rPr>
        <w:t xml:space="preserve"/>
      </w:r>
    </w:p>
    <w:p>
      <w:pPr>
        <w:pBdr>
          <w:bottom w:val="single" w:color="E84C4C" w:sz="2"/>
        </w:pBdr>
        <w:shd w:fill="1B3A5C" w:val="clear"/>
        <w:spacing w:before="180" w:after="6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  2.  RECOMMANDATIONS STRATÉGIQUES</w:t>
      </w:r>
    </w:p>
    <w:p>
      <w:pPr>
        <w:shd w:fill="2563A8" w:val="clear"/>
        <w:spacing w:before="100" w:after="5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 AXE 1  ·  PROGRAMME ABM VERTICAL — SCALE-UPS TECH 50–500 SALARIÉS  ·  Budget : 198 000€</w:t>
      </w:r>
    </w:p>
    <w:p>
      <w:p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02C"/>
          <w:sz w:val="18"/>
          <w:szCs w:val="18"/>
        </w:rPr>
        <w:t xml:space="preserve">Les scale-ups tech EU présentent le meilleur ratio LTV/CAC pour Deel. Un ciblage généraliste dilue le budget sur des leads non qualifiés — l'ABM vertical inverse ce ratio en concentrant l'effort sur 2 000 comptes prioritaires.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700"/>
        <w:gridCol w:w="1406"/>
        <w:gridCol w:w="1300"/>
        <w:gridCol w:w="2700"/>
      </w:tblGrid>
      <w:tr>
        <w:trPr>
          <w:tblHeader/>
        </w:trP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5C" w:val="clear"/>
            <w:tcMar>
              <w:top w:type="dxa" w:w="44"/>
              <w:left w:type="dxa" w:w="90"/>
              <w:bottom w:type="dxa" w:w="44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Action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5C" w:val="clear"/>
            <w:tcMar>
              <w:top w:type="dxa" w:w="44"/>
              <w:left w:type="dxa" w:w="90"/>
              <w:bottom w:type="dxa" w:w="44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Responsable</w:t>
            </w:r>
          </w:p>
        </w:tc>
        <w:tc>
          <w:tcPr>
            <w:tcW w:type="dxa" w:w="14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5C" w:val="clear"/>
            <w:tcMar>
              <w:top w:type="dxa" w:w="44"/>
              <w:left w:type="dxa" w:w="90"/>
              <w:bottom w:type="dxa" w:w="44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Délai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5C" w:val="clear"/>
            <w:tcMar>
              <w:top w:type="dxa" w:w="44"/>
              <w:left w:type="dxa" w:w="90"/>
              <w:bottom w:type="dxa" w:w="44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Budget</w:t>
            </w:r>
          </w:p>
        </w:tc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5C" w:val="clear"/>
            <w:tcMar>
              <w:top w:type="dxa" w:w="44"/>
              <w:left w:type="dxa" w:w="90"/>
              <w:bottom w:type="dxa" w:w="44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Livrable / KPI cible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44"/>
              <w:left w:type="dxa" w:w="90"/>
              <w:bottom w:type="dxa" w:w="44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7"/>
                <w:szCs w:val="17"/>
              </w:rPr>
              <w:t xml:space="preserve">Ciblage 2 000 comptes (Sales Nav + Cognism)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44"/>
              <w:left w:type="dxa" w:w="90"/>
              <w:bottom w:type="dxa" w:w="44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7"/>
                <w:szCs w:val="17"/>
              </w:rPr>
              <w:t xml:space="preserve">Head Demand Gen EU</w:t>
            </w:r>
          </w:p>
        </w:tc>
        <w:tc>
          <w:tcPr>
            <w:tcW w:type="dxa" w:w="14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44"/>
              <w:left w:type="dxa" w:w="90"/>
              <w:bottom w:type="dxa" w:w="44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7"/>
                <w:szCs w:val="17"/>
              </w:rPr>
              <w:t xml:space="preserve">M1–M2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44"/>
              <w:left w:type="dxa" w:w="90"/>
              <w:bottom w:type="dxa" w:w="44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7"/>
                <w:szCs w:val="17"/>
              </w:rPr>
              <w:t xml:space="preserve">8 000€</w:t>
            </w:r>
          </w:p>
        </w:tc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44"/>
              <w:left w:type="dxa" w:w="90"/>
              <w:bottom w:type="dxa" w:w="44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7"/>
                <w:szCs w:val="17"/>
              </w:rPr>
              <w:t xml:space="preserve">Liste ABM + scoring ICP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9" w:val="clear"/>
            <w:tcMar>
              <w:top w:type="dxa" w:w="44"/>
              <w:left w:type="dxa" w:w="90"/>
              <w:bottom w:type="dxa" w:w="44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7"/>
                <w:szCs w:val="17"/>
              </w:rPr>
              <w:t xml:space="preserve">3 landing pages verticales SaaS/FinTech/DeepTech + calculateur ROI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9" w:val="clear"/>
            <w:tcMar>
              <w:top w:type="dxa" w:w="44"/>
              <w:left w:type="dxa" w:w="90"/>
              <w:bottom w:type="dxa" w:w="44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7"/>
                <w:szCs w:val="17"/>
              </w:rPr>
              <w:t xml:space="preserve">Growth + Dev</w:t>
            </w:r>
          </w:p>
        </w:tc>
        <w:tc>
          <w:tcPr>
            <w:tcW w:type="dxa" w:w="14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9" w:val="clear"/>
            <w:tcMar>
              <w:top w:type="dxa" w:w="44"/>
              <w:left w:type="dxa" w:w="90"/>
              <w:bottom w:type="dxa" w:w="44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7"/>
                <w:szCs w:val="17"/>
              </w:rPr>
              <w:t xml:space="preserve">M2–M3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9" w:val="clear"/>
            <w:tcMar>
              <w:top w:type="dxa" w:w="44"/>
              <w:left w:type="dxa" w:w="90"/>
              <w:bottom w:type="dxa" w:w="44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7"/>
                <w:szCs w:val="17"/>
              </w:rPr>
              <w:t xml:space="preserve">35 000€</w:t>
            </w:r>
          </w:p>
        </w:tc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9" w:val="clear"/>
            <w:tcMar>
              <w:top w:type="dxa" w:w="44"/>
              <w:left w:type="dxa" w:w="90"/>
              <w:bottom w:type="dxa" w:w="44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7"/>
                <w:szCs w:val="17"/>
              </w:rPr>
              <w:t xml:space="preserve">Conv. ≥ 3,5% (vs 1,8%)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44"/>
              <w:left w:type="dxa" w:w="90"/>
              <w:bottom w:type="dxa" w:w="44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7"/>
                <w:szCs w:val="17"/>
              </w:rPr>
              <w:t xml:space="preserve">Campagne LinkedIn Ads séquencée 3 touchpoints (awareness→démo)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44"/>
              <w:left w:type="dxa" w:w="90"/>
              <w:bottom w:type="dxa" w:w="44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7"/>
                <w:szCs w:val="17"/>
              </w:rPr>
              <w:t xml:space="preserve">Paid Media EU</w:t>
            </w:r>
          </w:p>
        </w:tc>
        <w:tc>
          <w:tcPr>
            <w:tcW w:type="dxa" w:w="14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44"/>
              <w:left w:type="dxa" w:w="90"/>
              <w:bottom w:type="dxa" w:w="44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7"/>
                <w:szCs w:val="17"/>
              </w:rPr>
              <w:t xml:space="preserve">M3–M12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44"/>
              <w:left w:type="dxa" w:w="90"/>
              <w:bottom w:type="dxa" w:w="44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7"/>
                <w:szCs w:val="17"/>
              </w:rPr>
              <w:t xml:space="preserve">120 000€</w:t>
            </w:r>
          </w:p>
        </w:tc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44"/>
              <w:left w:type="dxa" w:w="90"/>
              <w:bottom w:type="dxa" w:w="44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7"/>
                <w:szCs w:val="17"/>
              </w:rPr>
              <w:t xml:space="preserve">CPL &lt; 150€, 10k€/mois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9" w:val="clear"/>
            <w:tcMar>
              <w:top w:type="dxa" w:w="44"/>
              <w:left w:type="dxa" w:w="90"/>
              <w:bottom w:type="dxa" w:w="44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7"/>
                <w:szCs w:val="17"/>
              </w:rPr>
              <w:t xml:space="preserve">Séquence outbound Outreach.io — 6 emails / 3 semaines / vertical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9" w:val="clear"/>
            <w:tcMar>
              <w:top w:type="dxa" w:w="44"/>
              <w:left w:type="dxa" w:w="90"/>
              <w:bottom w:type="dxa" w:w="44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7"/>
                <w:szCs w:val="17"/>
              </w:rPr>
              <w:t xml:space="preserve">SDR Team EU ×3</w:t>
            </w:r>
          </w:p>
        </w:tc>
        <w:tc>
          <w:tcPr>
            <w:tcW w:type="dxa" w:w="14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9" w:val="clear"/>
            <w:tcMar>
              <w:top w:type="dxa" w:w="44"/>
              <w:left w:type="dxa" w:w="90"/>
              <w:bottom w:type="dxa" w:w="44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7"/>
                <w:szCs w:val="17"/>
              </w:rPr>
              <w:t xml:space="preserve">M3–M12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9" w:val="clear"/>
            <w:tcMar>
              <w:top w:type="dxa" w:w="44"/>
              <w:left w:type="dxa" w:w="90"/>
              <w:bottom w:type="dxa" w:w="44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7"/>
                <w:szCs w:val="17"/>
              </w:rPr>
              <w:t xml:space="preserve">15 000€</w:t>
            </w:r>
          </w:p>
        </w:tc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9" w:val="clear"/>
            <w:tcMar>
              <w:top w:type="dxa" w:w="44"/>
              <w:left w:type="dxa" w:w="90"/>
              <w:bottom w:type="dxa" w:w="44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7"/>
                <w:szCs w:val="17"/>
              </w:rPr>
              <w:t xml:space="preserve">Taux réponse &gt; 12%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44"/>
              <w:left w:type="dxa" w:w="90"/>
              <w:bottom w:type="dxa" w:w="44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7"/>
                <w:szCs w:val="17"/>
              </w:rPr>
              <w:t xml:space="preserve">5 études de cas clients EU (Doctolib, Alan, Spendesk types)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44"/>
              <w:left w:type="dxa" w:w="90"/>
              <w:bottom w:type="dxa" w:w="44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7"/>
                <w:szCs w:val="17"/>
              </w:rPr>
              <w:t xml:space="preserve">Content Manager</w:t>
            </w:r>
          </w:p>
        </w:tc>
        <w:tc>
          <w:tcPr>
            <w:tcW w:type="dxa" w:w="14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44"/>
              <w:left w:type="dxa" w:w="90"/>
              <w:bottom w:type="dxa" w:w="44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7"/>
                <w:szCs w:val="17"/>
              </w:rPr>
              <w:t xml:space="preserve">M2–M4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44"/>
              <w:left w:type="dxa" w:w="90"/>
              <w:bottom w:type="dxa" w:w="44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7"/>
                <w:szCs w:val="17"/>
              </w:rPr>
              <w:t xml:space="preserve">20 000€</w:t>
            </w:r>
          </w:p>
        </w:tc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44"/>
              <w:left w:type="dxa" w:w="90"/>
              <w:bottom w:type="dxa" w:w="44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7"/>
                <w:szCs w:val="17"/>
              </w:rPr>
              <w:t xml:space="preserve">5 PDFs + pages web live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  <w:sz w:val="8"/>
          <w:szCs w:val="8"/>
        </w:rPr>
        <w:t xml:space="preserve"/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400"/>
        <w:gridCol w:w="3106"/>
      </w:tblGrid>
      <w:tr>
        <w:trPr>
          <w:tblHeader/>
        </w:trP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5C" w:val="clear"/>
            <w:tcMar>
              <w:top w:type="dxa" w:w="44"/>
              <w:left w:type="dxa" w:w="90"/>
              <w:bottom w:type="dxa" w:w="44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KPI — Axe 1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5C" w:val="clear"/>
            <w:tcMar>
              <w:top w:type="dxa" w:w="44"/>
              <w:left w:type="dxa" w:w="90"/>
              <w:bottom w:type="dxa" w:w="44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Cible chiffrée</w:t>
            </w:r>
          </w:p>
        </w:tc>
        <w:tc>
          <w:tcPr>
            <w:tcW w:type="dxa" w:w="31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5C" w:val="clear"/>
            <w:tcMar>
              <w:top w:type="dxa" w:w="44"/>
              <w:left w:type="dxa" w:w="90"/>
              <w:bottom w:type="dxa" w:w="44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Échéance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4"/>
              <w:left w:type="dxa" w:w="90"/>
              <w:bottom w:type="dxa" w:w="44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CAC campagne ABM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E9F8" w:val="clear"/>
            <w:tcMar>
              <w:top w:type="dxa" w:w="44"/>
              <w:left w:type="dxa" w:w="90"/>
              <w:bottom w:type="dxa" w:w="44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A8"/>
                <w:sz w:val="17"/>
                <w:szCs w:val="17"/>
              </w:rPr>
              <w:t xml:space="preserve">&lt; 1 200€ (vs 1 800€ actuel)</w:t>
            </w:r>
          </w:p>
        </w:tc>
        <w:tc>
          <w:tcPr>
            <w:tcW w:type="dxa" w:w="23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4"/>
              <w:left w:type="dxa" w:w="90"/>
              <w:bottom w:type="dxa" w:w="44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M6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4"/>
              <w:left w:type="dxa" w:w="90"/>
              <w:bottom w:type="dxa" w:w="44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Nouveaux MQL/mois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E9F8" w:val="clear"/>
            <w:tcMar>
              <w:top w:type="dxa" w:w="44"/>
              <w:left w:type="dxa" w:w="90"/>
              <w:bottom w:type="dxa" w:w="44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A8"/>
                <w:sz w:val="17"/>
                <w:szCs w:val="17"/>
              </w:rPr>
              <w:t xml:space="preserve">+250 MQL/mois vs baseline</w:t>
            </w:r>
          </w:p>
        </w:tc>
        <w:tc>
          <w:tcPr>
            <w:tcW w:type="dxa" w:w="23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4"/>
              <w:left w:type="dxa" w:w="90"/>
              <w:bottom w:type="dxa" w:w="44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M6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4"/>
              <w:left w:type="dxa" w:w="90"/>
              <w:bottom w:type="dxa" w:w="44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Conv. landing pages verticales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E9F8" w:val="clear"/>
            <w:tcMar>
              <w:top w:type="dxa" w:w="44"/>
              <w:left w:type="dxa" w:w="90"/>
              <w:bottom w:type="dxa" w:w="44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A8"/>
                <w:sz w:val="17"/>
                <w:szCs w:val="17"/>
              </w:rPr>
              <w:t xml:space="preserve">≥ 3,5% (vs 1,8% actuel)</w:t>
            </w:r>
          </w:p>
        </w:tc>
        <w:tc>
          <w:tcPr>
            <w:tcW w:type="dxa" w:w="23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4"/>
              <w:left w:type="dxa" w:w="90"/>
              <w:bottom w:type="dxa" w:w="44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M5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4"/>
              <w:left w:type="dxa" w:w="90"/>
              <w:bottom w:type="dxa" w:w="44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Pipeline généré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E9F8" w:val="clear"/>
            <w:tcMar>
              <w:top w:type="dxa" w:w="44"/>
              <w:left w:type="dxa" w:w="90"/>
              <w:bottom w:type="dxa" w:w="44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A8"/>
                <w:sz w:val="17"/>
                <w:szCs w:val="17"/>
              </w:rPr>
              <w:t xml:space="preserve">≥ 3,5 M€</w:t>
            </w:r>
          </w:p>
        </w:tc>
        <w:tc>
          <w:tcPr>
            <w:tcW w:type="dxa" w:w="23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4"/>
              <w:left w:type="dxa" w:w="90"/>
              <w:bottom w:type="dxa" w:w="44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M12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b/>
          <w:bCs/>
          <w:i w:val="false"/>
          <w:iCs w:val="false"/>
          <w:color w:val="2563A8"/>
          <w:sz w:val="18"/>
          <w:szCs w:val="18"/>
        </w:rPr>
        <w:t xml:space="preserve">ROI AXE 1 estimé : 25 clients × LTV moy. 150 000€ = 3,75 M€ → ROI ×18,9  ·  Break-even : Mois 8</w:t>
      </w:r>
    </w:p>
    <w:p>
      <w:pPr>
        <w:spacing w:before="0" w:after="0"/>
      </w:pPr>
      <w:r>
        <w:rPr>
          <w:rFonts w:ascii="Arial" w:cs="Arial" w:eastAsia="Arial" w:hAnsi="Arial"/>
          <w:sz w:val="8"/>
          <w:szCs w:val="8"/>
        </w:rPr>
        <w:t xml:space="preserve"/>
      </w:r>
    </w:p>
    <w:p>
      <w:pPr>
        <w:shd w:fill="2563A8" w:val="clear"/>
        <w:spacing w:before="100" w:after="5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 AXE 2  ·  NURTURING &amp; SALES ENABLEMENT — RÉDUIRE LE CYCLE DE VENTE DE 27%  ·  Budget : 75 000€</w:t>
      </w:r>
    </w:p>
    <w:p>
      <w:p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02C"/>
          <w:sz w:val="18"/>
          <w:szCs w:val="18"/>
        </w:rPr>
        <w:t xml:space="preserve">Générer des leads sans améliorer la conversion est un gouffre financier. Chaque semaine gagnée sur le cycle de vente libère de la capacité commerciale à ressources constantes.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700"/>
        <w:gridCol w:w="1406"/>
        <w:gridCol w:w="1300"/>
        <w:gridCol w:w="2700"/>
      </w:tblGrid>
      <w:tr>
        <w:trPr>
          <w:tblHeader/>
        </w:trP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5C" w:val="clear"/>
            <w:tcMar>
              <w:top w:type="dxa" w:w="44"/>
              <w:left w:type="dxa" w:w="90"/>
              <w:bottom w:type="dxa" w:w="44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Action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5C" w:val="clear"/>
            <w:tcMar>
              <w:top w:type="dxa" w:w="44"/>
              <w:left w:type="dxa" w:w="90"/>
              <w:bottom w:type="dxa" w:w="44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Responsable</w:t>
            </w:r>
          </w:p>
        </w:tc>
        <w:tc>
          <w:tcPr>
            <w:tcW w:type="dxa" w:w="14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5C" w:val="clear"/>
            <w:tcMar>
              <w:top w:type="dxa" w:w="44"/>
              <w:left w:type="dxa" w:w="90"/>
              <w:bottom w:type="dxa" w:w="44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Délai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5C" w:val="clear"/>
            <w:tcMar>
              <w:top w:type="dxa" w:w="44"/>
              <w:left w:type="dxa" w:w="90"/>
              <w:bottom w:type="dxa" w:w="44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Budget</w:t>
            </w:r>
          </w:p>
        </w:tc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5C" w:val="clear"/>
            <w:tcMar>
              <w:top w:type="dxa" w:w="44"/>
              <w:left w:type="dxa" w:w="90"/>
              <w:bottom w:type="dxa" w:w="44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Livrable / KPI cible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44"/>
              <w:left w:type="dxa" w:w="90"/>
              <w:bottom w:type="dxa" w:w="44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7"/>
                <w:szCs w:val="17"/>
              </w:rPr>
              <w:t xml:space="preserve">Simulateur coût interactif : Deel vs entité locale vs Remote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44"/>
              <w:left w:type="dxa" w:w="90"/>
              <w:bottom w:type="dxa" w:w="44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7"/>
                <w:szCs w:val="17"/>
              </w:rPr>
              <w:t xml:space="preserve">Growth + Dev</w:t>
            </w:r>
          </w:p>
        </w:tc>
        <w:tc>
          <w:tcPr>
            <w:tcW w:type="dxa" w:w="14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44"/>
              <w:left w:type="dxa" w:w="90"/>
              <w:bottom w:type="dxa" w:w="44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7"/>
                <w:szCs w:val="17"/>
              </w:rPr>
              <w:t xml:space="preserve">M1–M3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44"/>
              <w:left w:type="dxa" w:w="90"/>
              <w:bottom w:type="dxa" w:w="44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7"/>
                <w:szCs w:val="17"/>
              </w:rPr>
              <w:t xml:space="preserve">25 000€</w:t>
            </w:r>
          </w:p>
        </w:tc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44"/>
              <w:left w:type="dxa" w:w="90"/>
              <w:bottom w:type="dxa" w:w="44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7"/>
                <w:szCs w:val="17"/>
              </w:rPr>
              <w:t xml:space="preserve">Outil web embarqué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9" w:val="clear"/>
            <w:tcMar>
              <w:top w:type="dxa" w:w="44"/>
              <w:left w:type="dxa" w:w="90"/>
              <w:bottom w:type="dxa" w:w="44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7"/>
                <w:szCs w:val="17"/>
              </w:rPr>
              <w:t xml:space="preserve">Séquence nurturing HubSpot — 8 emails / 6 semaines / secteur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9" w:val="clear"/>
            <w:tcMar>
              <w:top w:type="dxa" w:w="44"/>
              <w:left w:type="dxa" w:w="90"/>
              <w:bottom w:type="dxa" w:w="44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7"/>
                <w:szCs w:val="17"/>
              </w:rPr>
              <w:t xml:space="preserve">Marketing Ops</w:t>
            </w:r>
          </w:p>
        </w:tc>
        <w:tc>
          <w:tcPr>
            <w:tcW w:type="dxa" w:w="14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9" w:val="clear"/>
            <w:tcMar>
              <w:top w:type="dxa" w:w="44"/>
              <w:left w:type="dxa" w:w="90"/>
              <w:bottom w:type="dxa" w:w="44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7"/>
                <w:szCs w:val="17"/>
              </w:rPr>
              <w:t xml:space="preserve">M2–M4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9" w:val="clear"/>
            <w:tcMar>
              <w:top w:type="dxa" w:w="44"/>
              <w:left w:type="dxa" w:w="90"/>
              <w:bottom w:type="dxa" w:w="44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7"/>
                <w:szCs w:val="17"/>
              </w:rPr>
              <w:t xml:space="preserve">20 000€</w:t>
            </w:r>
          </w:p>
        </w:tc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9" w:val="clear"/>
            <w:tcMar>
              <w:top w:type="dxa" w:w="44"/>
              <w:left w:type="dxa" w:w="90"/>
              <w:bottom w:type="dxa" w:w="44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7"/>
                <w:szCs w:val="17"/>
              </w:rPr>
              <w:t xml:space="preserve">3 workflows — MQL→SQL +40%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44"/>
              <w:left w:type="dxa" w:w="90"/>
              <w:bottom w:type="dxa" w:w="44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7"/>
                <w:szCs w:val="17"/>
              </w:rPr>
              <w:t xml:space="preserve">Webinaires mensuels 'Recruter en EU sans entité' (cible : 200 inscrits)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44"/>
              <w:left w:type="dxa" w:w="90"/>
              <w:bottom w:type="dxa" w:w="44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7"/>
                <w:szCs w:val="17"/>
              </w:rPr>
              <w:t xml:space="preserve">Field Marketing EU</w:t>
            </w:r>
          </w:p>
        </w:tc>
        <w:tc>
          <w:tcPr>
            <w:tcW w:type="dxa" w:w="14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44"/>
              <w:left w:type="dxa" w:w="90"/>
              <w:bottom w:type="dxa" w:w="44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7"/>
                <w:szCs w:val="17"/>
              </w:rPr>
              <w:t xml:space="preserve">M3–M12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44"/>
              <w:left w:type="dxa" w:w="90"/>
              <w:bottom w:type="dxa" w:w="44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7"/>
                <w:szCs w:val="17"/>
              </w:rPr>
              <w:t xml:space="preserve">18 000€</w:t>
            </w:r>
          </w:p>
        </w:tc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44"/>
              <w:left w:type="dxa" w:w="90"/>
              <w:bottom w:type="dxa" w:w="44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7"/>
                <w:szCs w:val="17"/>
              </w:rPr>
              <w:t xml:space="preserve">10 sessions/an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9" w:val="clear"/>
            <w:tcMar>
              <w:top w:type="dxa" w:w="44"/>
              <w:left w:type="dxa" w:w="90"/>
              <w:bottom w:type="dxa" w:w="44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7"/>
                <w:szCs w:val="17"/>
              </w:rPr>
              <w:t xml:space="preserve">Battle cards Remote/Oyster + formation équipe vente (2 sessions)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9" w:val="clear"/>
            <w:tcMar>
              <w:top w:type="dxa" w:w="44"/>
              <w:left w:type="dxa" w:w="90"/>
              <w:bottom w:type="dxa" w:w="44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7"/>
                <w:szCs w:val="17"/>
              </w:rPr>
              <w:t xml:space="preserve">Sales Enablement</w:t>
            </w:r>
          </w:p>
        </w:tc>
        <w:tc>
          <w:tcPr>
            <w:tcW w:type="dxa" w:w="14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9" w:val="clear"/>
            <w:tcMar>
              <w:top w:type="dxa" w:w="44"/>
              <w:left w:type="dxa" w:w="90"/>
              <w:bottom w:type="dxa" w:w="44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7"/>
                <w:szCs w:val="17"/>
              </w:rPr>
              <w:t xml:space="preserve">M1–M2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9" w:val="clear"/>
            <w:tcMar>
              <w:top w:type="dxa" w:w="44"/>
              <w:left w:type="dxa" w:w="90"/>
              <w:bottom w:type="dxa" w:w="44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7"/>
                <w:szCs w:val="17"/>
              </w:rPr>
              <w:t xml:space="preserve">12 000€</w:t>
            </w:r>
          </w:p>
        </w:tc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9" w:val="clear"/>
            <w:tcMar>
              <w:top w:type="dxa" w:w="44"/>
              <w:left w:type="dxa" w:w="90"/>
              <w:bottom w:type="dxa" w:w="44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7"/>
                <w:szCs w:val="17"/>
              </w:rPr>
              <w:t xml:space="preserve">Deck + taux closing +6pts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  <w:sz w:val="8"/>
          <w:szCs w:val="8"/>
        </w:rPr>
        <w:t xml:space="preserve"/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400"/>
        <w:gridCol w:w="3106"/>
      </w:tblGrid>
      <w:tr>
        <w:trPr>
          <w:tblHeader/>
        </w:trP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5C" w:val="clear"/>
            <w:tcMar>
              <w:top w:type="dxa" w:w="44"/>
              <w:left w:type="dxa" w:w="90"/>
              <w:bottom w:type="dxa" w:w="44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KPI — Axe 2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5C" w:val="clear"/>
            <w:tcMar>
              <w:top w:type="dxa" w:w="44"/>
              <w:left w:type="dxa" w:w="90"/>
              <w:bottom w:type="dxa" w:w="44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Cible chiffrée</w:t>
            </w:r>
          </w:p>
        </w:tc>
        <w:tc>
          <w:tcPr>
            <w:tcW w:type="dxa" w:w="31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5C" w:val="clear"/>
            <w:tcMar>
              <w:top w:type="dxa" w:w="44"/>
              <w:left w:type="dxa" w:w="90"/>
              <w:bottom w:type="dxa" w:w="44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Échéance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4"/>
              <w:left w:type="dxa" w:w="90"/>
              <w:bottom w:type="dxa" w:w="44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Durée cycle de vente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E9F8" w:val="clear"/>
            <w:tcMar>
              <w:top w:type="dxa" w:w="44"/>
              <w:left w:type="dxa" w:w="90"/>
              <w:bottom w:type="dxa" w:w="44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A8"/>
                <w:sz w:val="17"/>
                <w:szCs w:val="17"/>
              </w:rPr>
              <w:t xml:space="preserve">≤ 38 jours (vs 52 jours estimé)</w:t>
            </w:r>
          </w:p>
        </w:tc>
        <w:tc>
          <w:tcPr>
            <w:tcW w:type="dxa" w:w="23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4"/>
              <w:left w:type="dxa" w:w="90"/>
              <w:bottom w:type="dxa" w:w="44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M9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4"/>
              <w:left w:type="dxa" w:w="90"/>
              <w:bottom w:type="dxa" w:w="44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Conv. lead → opportunité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E9F8" w:val="clear"/>
            <w:tcMar>
              <w:top w:type="dxa" w:w="44"/>
              <w:left w:type="dxa" w:w="90"/>
              <w:bottom w:type="dxa" w:w="44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A8"/>
                <w:sz w:val="17"/>
                <w:szCs w:val="17"/>
              </w:rPr>
              <w:t xml:space="preserve">≥ 35% (vs 22% estimé)</w:t>
            </w:r>
          </w:p>
        </w:tc>
        <w:tc>
          <w:tcPr>
            <w:tcW w:type="dxa" w:w="23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4"/>
              <w:left w:type="dxa" w:w="90"/>
              <w:bottom w:type="dxa" w:w="44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M9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4"/>
              <w:left w:type="dxa" w:w="90"/>
              <w:bottom w:type="dxa" w:w="44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Conv. opportunité → client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E9F8" w:val="clear"/>
            <w:tcMar>
              <w:top w:type="dxa" w:w="44"/>
              <w:left w:type="dxa" w:w="90"/>
              <w:bottom w:type="dxa" w:w="44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A8"/>
                <w:sz w:val="17"/>
                <w:szCs w:val="17"/>
              </w:rPr>
              <w:t xml:space="preserve">≥ 28% (vs 18% estimé)</w:t>
            </w:r>
          </w:p>
        </w:tc>
        <w:tc>
          <w:tcPr>
            <w:tcW w:type="dxa" w:w="23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4"/>
              <w:left w:type="dxa" w:w="90"/>
              <w:bottom w:type="dxa" w:w="44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M12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4"/>
              <w:left w:type="dxa" w:w="90"/>
              <w:bottom w:type="dxa" w:w="44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MQL nurturés vers SQL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E9F8" w:val="clear"/>
            <w:tcMar>
              <w:top w:type="dxa" w:w="44"/>
              <w:left w:type="dxa" w:w="90"/>
              <w:bottom w:type="dxa" w:w="44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A8"/>
                <w:sz w:val="17"/>
                <w:szCs w:val="17"/>
              </w:rPr>
              <w:t xml:space="preserve">+40% à M9</w:t>
            </w:r>
          </w:p>
        </w:tc>
        <w:tc>
          <w:tcPr>
            <w:tcW w:type="dxa" w:w="23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4"/>
              <w:left w:type="dxa" w:w="90"/>
              <w:bottom w:type="dxa" w:w="44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M9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b/>
          <w:bCs/>
          <w:i w:val="false"/>
          <w:iCs w:val="false"/>
          <w:color w:val="2563A8"/>
          <w:sz w:val="18"/>
          <w:szCs w:val="18"/>
        </w:rPr>
        <w:t xml:space="preserve">ROI AXE 2 estimé : −27% durée cycle → +10 clients/an supplémentaires à capacité constante  ·  Break-even : Mois 7</w:t>
      </w:r>
    </w:p>
    <w:p>
      <w:pPr>
        <w:spacing w:before="0" w:after="0"/>
      </w:pPr>
      <w:r>
        <w:rPr>
          <w:rFonts w:ascii="Arial" w:cs="Arial" w:eastAsia="Arial" w:hAnsi="Arial"/>
          <w:sz w:val="8"/>
          <w:szCs w:val="8"/>
        </w:rPr>
        <w:t xml:space="preserve"/>
      </w:r>
    </w:p>
    <w:p>
      <w:pPr>
        <w:pBdr>
          <w:bottom w:val="single" w:color="E84C4C" w:sz="2"/>
        </w:pBdr>
        <w:shd w:fill="1B3A5C" w:val="clear"/>
        <w:spacing w:before="180" w:after="6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  3.  SYNTHÈSE BUDGÉTAIRE &amp; CALENDRIER</w:t>
      </w:r>
    </w:p>
    <w:p>
      <w:pPr>
        <w:spacing w:before="0" w:after="0"/>
      </w:pPr>
      <w:r>
        <w:rPr>
          <w:rFonts w:ascii="Arial" w:cs="Arial" w:eastAsia="Arial" w:hAnsi="Arial"/>
          <w:sz w:val="8"/>
          <w:szCs w:val="8"/>
        </w:rPr>
        <w:t xml:space="preserve"/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106"/>
        <w:gridCol w:w="1800"/>
        <w:gridCol w:w="1800"/>
        <w:gridCol w:w="2400"/>
      </w:tblGrid>
      <w:tr>
        <w:trPr>
          <w:tblHeader/>
        </w:trPr>
        <w:tc>
          <w:tcPr>
            <w:tcW w:type="dxa" w:w="41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5C" w:val="clear"/>
            <w:tcMar>
              <w:top w:type="dxa" w:w="44"/>
              <w:left w:type="dxa" w:w="90"/>
              <w:bottom w:type="dxa" w:w="44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Axe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5C" w:val="clear"/>
            <w:tcMar>
              <w:top w:type="dxa" w:w="44"/>
              <w:left w:type="dxa" w:w="90"/>
              <w:bottom w:type="dxa" w:w="44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Budget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5C" w:val="clear"/>
            <w:tcMar>
              <w:top w:type="dxa" w:w="44"/>
              <w:left w:type="dxa" w:w="90"/>
              <w:bottom w:type="dxa" w:w="44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ROI estimé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5C" w:val="clear"/>
            <w:tcMar>
              <w:top w:type="dxa" w:w="44"/>
              <w:left w:type="dxa" w:w="90"/>
              <w:bottom w:type="dxa" w:w="44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Break-even</w:t>
            </w:r>
          </w:p>
        </w:tc>
      </w:tr>
      <w:tr>
        <w:tc>
          <w:tcPr>
            <w:tcW w:type="dxa" w:w="41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44"/>
              <w:left w:type="dxa" w:w="90"/>
              <w:bottom w:type="dxa" w:w="44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7"/>
                <w:szCs w:val="17"/>
              </w:rPr>
              <w:t xml:space="preserve">Axe 1 — ABM Vertical (scale-ups tech)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44"/>
              <w:left w:type="dxa" w:w="90"/>
              <w:bottom w:type="dxa" w:w="44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7"/>
                <w:szCs w:val="17"/>
              </w:rPr>
              <w:t xml:space="preserve">198 000€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44"/>
              <w:left w:type="dxa" w:w="90"/>
              <w:bottom w:type="dxa" w:w="44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7"/>
                <w:szCs w:val="17"/>
              </w:rPr>
              <w:t xml:space="preserve">×18,9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44"/>
              <w:left w:type="dxa" w:w="90"/>
              <w:bottom w:type="dxa" w:w="44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7"/>
                <w:szCs w:val="17"/>
              </w:rPr>
              <w:t xml:space="preserve">Mois 8</w:t>
            </w:r>
          </w:p>
        </w:tc>
      </w:tr>
      <w:tr>
        <w:tc>
          <w:tcPr>
            <w:tcW w:type="dxa" w:w="41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9" w:val="clear"/>
            <w:tcMar>
              <w:top w:type="dxa" w:w="44"/>
              <w:left w:type="dxa" w:w="90"/>
              <w:bottom w:type="dxa" w:w="44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7"/>
                <w:szCs w:val="17"/>
              </w:rPr>
              <w:t xml:space="preserve">Axe 2 — Nurturing &amp; Sales Enablement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9" w:val="clear"/>
            <w:tcMar>
              <w:top w:type="dxa" w:w="44"/>
              <w:left w:type="dxa" w:w="90"/>
              <w:bottom w:type="dxa" w:w="44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7"/>
                <w:szCs w:val="17"/>
              </w:rPr>
              <w:t xml:space="preserve">75 000€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9" w:val="clear"/>
            <w:tcMar>
              <w:top w:type="dxa" w:w="44"/>
              <w:left w:type="dxa" w:w="90"/>
              <w:bottom w:type="dxa" w:w="44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7"/>
                <w:szCs w:val="17"/>
              </w:rPr>
              <w:t xml:space="preserve">×12+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9" w:val="clear"/>
            <w:tcMar>
              <w:top w:type="dxa" w:w="44"/>
              <w:left w:type="dxa" w:w="90"/>
              <w:bottom w:type="dxa" w:w="44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7"/>
                <w:szCs w:val="17"/>
              </w:rPr>
              <w:t xml:space="preserve">Mois 7</w:t>
            </w:r>
          </w:p>
        </w:tc>
      </w:tr>
      <w:tr>
        <w:tc>
          <w:tcPr>
            <w:tcW w:type="dxa" w:w="41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5C" w:val="clear"/>
            <w:tcMar>
              <w:top w:type="dxa" w:w="44"/>
              <w:left w:type="dxa" w:w="90"/>
              <w:bottom w:type="dxa" w:w="44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TOTAL — Budget &lt; 0,03% de l'ARR annuel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4C4C" w:val="clear"/>
            <w:tcMar>
              <w:top w:type="dxa" w:w="44"/>
              <w:left w:type="dxa" w:w="90"/>
              <w:bottom w:type="dxa" w:w="44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273 000€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65F46" w:val="clear"/>
            <w:tcMar>
              <w:top w:type="dxa" w:w="44"/>
              <w:left w:type="dxa" w:w="90"/>
              <w:bottom w:type="dxa" w:w="44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×12 min.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5C" w:val="clear"/>
            <w:tcMar>
              <w:top w:type="dxa" w:w="44"/>
              <w:left w:type="dxa" w:w="90"/>
              <w:bottom w:type="dxa" w:w="44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Mois 8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  <w:sz w:val="8"/>
          <w:szCs w:val="8"/>
        </w:rPr>
        <w:t xml:space="preserve"/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906"/>
      </w:tblGrid>
      <w:tr>
        <w:trPr>
          <w:tblHeader/>
        </w:trP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5C" w:val="clear"/>
            <w:tcMar>
              <w:top w:type="dxa" w:w="44"/>
              <w:left w:type="dxa" w:w="90"/>
              <w:bottom w:type="dxa" w:w="44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Phase</w:t>
            </w:r>
          </w:p>
        </w:tc>
        <w:tc>
          <w:tcPr>
            <w:tcW w:type="dxa" w:w="89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5C" w:val="clear"/>
            <w:tcMar>
              <w:top w:type="dxa" w:w="44"/>
              <w:left w:type="dxa" w:w="90"/>
              <w:bottom w:type="dxa" w:w="44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Actions clés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5C" w:val="clear"/>
            <w:tcMar>
              <w:top w:type="dxa" w:w="44"/>
              <w:left w:type="dxa" w:w="90"/>
              <w:bottom w:type="dxa" w:w="44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M1–M2</w:t>
            </w:r>
          </w:p>
        </w:tc>
        <w:tc>
          <w:tcPr>
            <w:tcW w:type="dxa" w:w="89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4"/>
              <w:left w:type="dxa" w:w="90"/>
              <w:bottom w:type="dxa" w:w="44"/>
              <w:right w:type="dxa" w:w="9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Ciblage 2 000 comptes  ·  Battle cards commerciales  ·  Setup HubSpot workflows  ·  Lancement simulateur &amp; landing pages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A8" w:val="clear"/>
            <w:tcMar>
              <w:top w:type="dxa" w:w="44"/>
              <w:left w:type="dxa" w:w="90"/>
              <w:bottom w:type="dxa" w:w="44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M3–M5</w:t>
            </w:r>
          </w:p>
        </w:tc>
        <w:tc>
          <w:tcPr>
            <w:tcW w:type="dxa" w:w="89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9" w:val="clear"/>
            <w:tcMar>
              <w:top w:type="dxa" w:w="44"/>
              <w:left w:type="dxa" w:w="90"/>
              <w:bottom w:type="dxa" w:w="44"/>
              <w:right w:type="dxa" w:w="9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Lancement LinkedIn Ads  ·  Go live landing pages  ·  1er webinaire  ·  Outbound SDR  ·  Études de cas (2/5)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5C" w:val="clear"/>
            <w:tcMar>
              <w:top w:type="dxa" w:w="44"/>
              <w:left w:type="dxa" w:w="90"/>
              <w:bottom w:type="dxa" w:w="44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M6–M9</w:t>
            </w:r>
          </w:p>
        </w:tc>
        <w:tc>
          <w:tcPr>
            <w:tcW w:type="dxa" w:w="89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4"/>
              <w:left w:type="dxa" w:w="90"/>
              <w:bottom w:type="dxa" w:w="44"/>
              <w:right w:type="dxa" w:w="9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Review KPI  ·  Optimisation CPL  ·  Itération créas  ·  Livraison simulateur  ·  Études de cas (5/5)  ·  Ajustement messages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A8" w:val="clear"/>
            <w:tcMar>
              <w:top w:type="dxa" w:w="44"/>
              <w:left w:type="dxa" w:w="90"/>
              <w:bottom w:type="dxa" w:w="44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M10–M12</w:t>
            </w:r>
          </w:p>
        </w:tc>
        <w:tc>
          <w:tcPr>
            <w:tcW w:type="dxa" w:w="89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9" w:val="clear"/>
            <w:tcMar>
              <w:top w:type="dxa" w:w="44"/>
              <w:left w:type="dxa" w:w="90"/>
              <w:bottom w:type="dxa" w:w="44"/>
              <w:right w:type="dxa" w:w="9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Scaling campagnes ROI+  ·  Bilan ROI global  ·  Présentation Direction  ·  Roadmap acquisition Année 2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  <w:sz w:val="8"/>
          <w:szCs w:val="8"/>
        </w:rPr>
        <w:t xml:space="preserve"/>
      </w:r>
    </w:p>
    <w:p>
      <w:pPr>
        <w:pBdr>
          <w:bottom w:val="single" w:color="E84C4C" w:sz="2"/>
        </w:pBdr>
        <w:shd w:fill="1B3A5C" w:val="clear"/>
        <w:spacing w:before="180" w:after="6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  4.  CONCLUSION</w:t>
      </w:r>
    </w:p>
    <w:p>
      <w:pPr>
        <w:spacing w:before="0" w:after="0"/>
      </w:pPr>
      <w:r>
        <w:rPr>
          <w:rFonts w:ascii="Arial" w:cs="Arial" w:eastAsia="Arial" w:hAnsi="Arial"/>
          <w:sz w:val="8"/>
          <w:szCs w:val="8"/>
        </w:rPr>
        <w:t xml:space="preserve"/>
      </w:r>
    </w:p>
    <w:p>
      <w:pPr>
        <w:pBdr>
          <w:left w:val="single" w:color="1B3A5C" w:sz="16"/>
        </w:pBdr>
        <w:shd w:fill="DCE9F8" w:val="clear"/>
        <w:spacing w:before="60" w:after="60"/>
        <w:ind w:left="140" w:right="140"/>
      </w:pPr>
      <w:r>
        <w:rPr>
          <w:rFonts w:ascii="Arial" w:cs="Arial" w:eastAsia="Arial" w:hAnsi="Arial"/>
          <w:i/>
          <w:iCs/>
          <w:color w:val="1B3A5C"/>
          <w:sz w:val="18"/>
          <w:szCs w:val="18"/>
        </w:rPr>
        <w:t xml:space="preserve">Le marché EOR européen est une fenêtre à durée limitée : Remote et Oyster industrialisent leur acquisition pendant que Deel dispose d'avantages compétitifs structurels sous-exploités. La question n'est plus de savoir si Deel doit investir en acquisition Europe — c'est de le faire avant que l'écart se creuse.</w:t>
      </w:r>
    </w:p>
    <w:p>
      <w:p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02C"/>
          <w:sz w:val="18"/>
          <w:szCs w:val="18"/>
        </w:rPr>
        <w:t xml:space="preserve">En déployant un ABM vertical précis (198 k€) et un nurturing structuré (75 k€), Deel peut atteindre +20% de MQL qualifiés (→ 6 000/an), un CAC réduit à 1 200€ et un cycle de vente ramené à 38 jours — pour 273 000€ investis et un ROI projeté de ×12 minimum à M12. Chaque semaine sans agir est du terrain concédé à des concurrents qui ont déjà fait ce choix.</w:t>
      </w:r>
    </w:p>
    <w:p>
      <w:pPr>
        <w:spacing w:before="0" w:after="0"/>
      </w:pPr>
      <w:r>
        <w:rPr>
          <w:rFonts w:ascii="Arial" w:cs="Arial" w:eastAsia="Arial" w:hAnsi="Arial"/>
          <w:sz w:val="8"/>
          <w:szCs w:val="8"/>
        </w:rPr>
        <w:t xml:space="preserve"/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8"/>
        <w:gridCol w:w="3370"/>
        <w:gridCol w:w="3368"/>
      </w:tblGrid>
      <w:tr>
        <w:tc>
          <w:tcPr>
            <w:tcW w:type="dxa" w:w="336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+20% MQL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93C5FD"/>
                <w:sz w:val="16"/>
                <w:szCs w:val="16"/>
              </w:rPr>
              <w:t xml:space="preserve">leads qualifiés / an</w:t>
            </w:r>
          </w:p>
        </w:tc>
        <w:tc>
          <w:tcPr>
            <w:tcW w:type="dxa" w:w="337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4C4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−27%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durée cycle de vente</w:t>
            </w:r>
          </w:p>
        </w:tc>
        <w:tc>
          <w:tcPr>
            <w:tcW w:type="dxa" w:w="336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65F4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ROI ×12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EE7B7"/>
                <w:sz w:val="16"/>
                <w:szCs w:val="16"/>
              </w:rPr>
              <w:t xml:space="preserve">retour sur investissement M12</w:t>
            </w:r>
          </w:p>
        </w:tc>
      </w:tr>
    </w:tbl>
    <w:p>
      <w:pPr>
        <w:spacing w:before="60" w:after="0"/>
        <w:jc w:val="right"/>
      </w:pPr>
      <w:r>
        <w:rPr>
          <w:rFonts w:ascii="Arial" w:cs="Arial" w:eastAsia="Arial" w:hAnsi="Arial"/>
          <w:i/>
          <w:iCs/>
          <w:color w:val="4A5568"/>
          <w:sz w:val="15"/>
          <w:szCs w:val="15"/>
        </w:rPr>
        <w:t xml:space="preserve">Note rédigée par le pôle Stratégie &amp; Acquisition Digitale — Mars 2026</w:t>
      </w:r>
    </w:p>
    <w:sectPr>
      <w:headerReference w:type="default" r:id="rId6"/>
      <w:footerReference w:type="default" r:id="rId7"/>
      <w:pgSz w:w="11906" w:h="16838" w:orient="portrait"/>
      <w:pgMar w:top="750" w:right="900" w:bottom="75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1D5DB" w:sz="3"/>
      </w:pBdr>
      <w:spacing w:before="40" w:after="0"/>
    </w:pPr>
    <w:r>
      <w:rPr>
        <w:rFonts w:ascii="Arial" w:cs="Arial" w:eastAsia="Arial" w:hAnsi="Arial"/>
        <w:color w:val="4A5568"/>
        <w:sz w:val="15"/>
        <w:szCs w:val="15"/>
      </w:rPr>
      <w:t xml:space="preserve">Confidentiel — Destinataire : Direction Générale Deel  ·  Stratégie &amp; Acquisition Digitale  ·  Mars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84C4C" w:sz="5"/>
      </w:pBdr>
      <w:spacing w:before="0" w:after="60"/>
    </w:pPr>
    <w:r>
      <w:rPr>
        <w:rFonts w:ascii="Arial" w:cs="Arial" w:eastAsia="Arial" w:hAnsi="Arial"/>
        <w:color w:val="4A5568"/>
        <w:sz w:val="15"/>
        <w:szCs w:val="15"/>
      </w:rPr>
      <w:t xml:space="preserve">NOTE D'OPPORTUNITÉ  ·  CONFIDENTIEL  ·  </w:t>
    </w:r>
    <w:r>
      <w:rPr>
        <w:rFonts w:ascii="Arial" w:cs="Arial" w:eastAsia="Arial" w:hAnsi="Arial"/>
        <w:b/>
        <w:bCs/>
        <w:color w:val="1B3A5C"/>
        <w:sz w:val="15"/>
        <w:szCs w:val="15"/>
      </w:rPr>
      <w:t xml:space="preserve">DEEL — ACQUISITION B2B EUROPE  ·  MARS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2026-03-16T12:39:15.397Z</dcterms:created>
  <dcterms:modified xsi:type="dcterms:W3CDTF">2026-03-16T12:39:15.398Z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