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before="60" w:after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44"/>
          <w:szCs w:val="44"/>
        </w:rPr>
        <w:t xml:space="preserve">DEEL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3C5FD"/>
          <w:sz w:val="21"/>
          <w:szCs w:val="21"/>
        </w:rPr>
        <w:t xml:space="preserve">   ·   Accélération de l'acquisition B2B en Europe</w:t>
      </w:r>
    </w:p>
    <w:p>
      <w:pPr>
        <w:shd w:fill="C0392B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NOTE D'OPPORTUNITÉ STRATÉGIQUE  ·  DESTINATAIRE : DIRECTION GÉNÉRALE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392B" w:sz="3"/>
        </w:pBdr>
        <w:shd w:fill="1B3A5C" w:val="clear"/>
        <w:spacing w:before="180" w:after="9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1.  INTRODUCTION &amp; PROBLÉMATIQUE SMART</w:t>
      </w:r>
    </w:p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line="32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Deel génère 1 Md$ d'ARR dans 150 pays. En Europe, Remote et Oyster HR gagnent du terrain grâce à des stratégies digitales ciblées et un pricing transparent. L'enjeu n'est pas la crédibilité de Deel — c'est la conversion.</w:t>
      </w:r>
    </w:p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left w:val="single" w:color="C0392B" w:sz="18"/>
        </w:pBdr>
        <w:shd w:fill="F2F4F7" w:val="clear"/>
        <w:spacing w:line="320" w:lineRule="auto"/>
        <w:ind w:left="160" w:right="12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❯  PROBLÉMATIQUE SMART 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Comment Deel peut-il augmenter de +20% ses MQL en Europe d'ici 12 mois — passant de ~5 000 à ~6 000 MQL/an — tout en réduisant son CAC de 15% (de ~1 800€ à ~1 530€), pour atteindre un ROI positif dès le mois 8 ?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392B" w:sz="3"/>
        </w:pBdr>
        <w:shd w:fill="1B3A5C" w:val="clear"/>
        <w:spacing w:before="180" w:after="9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2.  DIAGNOSTIC SYNTHÉTIQUE</w:t>
      </w:r>
    </w:p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left w:val="single" w:color="C0392B" w:sz="12"/>
        </w:pBdr>
        <w:spacing w:before="150" w:after="70"/>
        <w:ind w:left="1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Analyse concurrentielle &amp; stratégies digitales</w:t>
      </w:r>
    </w:p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593"/>
        <w:gridCol w:w="2593"/>
        <w:gridCol w:w="2592"/>
      </w:tblGrid>
      <w:tr>
        <w:trPr>
          <w:tblHeader/>
        </w:trPr>
        <w:tc>
          <w:tcPr>
            <w:tcW w:type="dxa" w:w="18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dxa" w:w="2593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Deel</w:t>
            </w:r>
          </w:p>
        </w:tc>
        <w:tc>
          <w:tcPr>
            <w:tcW w:type="dxa" w:w="2593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Remote</w:t>
            </w:r>
          </w:p>
        </w:tc>
        <w:tc>
          <w:tcPr>
            <w:tcW w:type="dxa" w:w="2592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Oyster HR</w:t>
            </w:r>
          </w:p>
        </w:tc>
      </w:tr>
      <w:tr>
        <w:tc>
          <w:tcPr>
            <w:tcW w:type="dxa" w:w="18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SEO / trafic</w:t>
            </w:r>
          </w:p>
        </w:tc>
        <w:tc>
          <w:tcPr>
            <w:tcW w:type="dxa" w:w="2593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 68 – ~220k vis./mois</w:t>
            </w:r>
          </w:p>
        </w:tc>
        <w:tc>
          <w:tcPr>
            <w:tcW w:type="dxa" w:w="2593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 72 – ~300k vis./mois ⚠</w:t>
            </w:r>
          </w:p>
        </w:tc>
        <w:tc>
          <w:tcPr>
            <w:tcW w:type="dxa" w:w="2592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 61 – ~95k vis./mois</w:t>
            </w:r>
          </w:p>
        </w:tc>
      </w:tr>
      <w:tr>
        <w:tc>
          <w:tcPr>
            <w:tcW w:type="dxa" w:w="18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Contenu B2B</w:t>
            </w:r>
          </w:p>
        </w:tc>
        <w:tc>
          <w:tcPr>
            <w:tcW w:type="dxa" w:w="2593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Guides généraux</w:t>
            </w:r>
          </w:p>
        </w:tc>
        <w:tc>
          <w:tcPr>
            <w:tcW w:type="dxa" w:w="2593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Guides par pays (long-tail)</w:t>
            </w:r>
          </w:p>
        </w:tc>
        <w:tc>
          <w:tcPr>
            <w:tcW w:type="dxa" w:w="2592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50+ articles/mois + partenariats</w:t>
            </w:r>
          </w:p>
        </w:tc>
      </w:tr>
      <w:tr>
        <w:tc>
          <w:tcPr>
            <w:tcW w:type="dxa" w:w="18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Pricing affiché</w:t>
            </w:r>
          </w:p>
        </w:tc>
        <w:tc>
          <w:tcPr>
            <w:tcW w:type="dxa" w:w="2593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Opaque / sur devis</w:t>
            </w:r>
          </w:p>
        </w:tc>
        <w:tc>
          <w:tcPr>
            <w:tcW w:type="dxa" w:w="2593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599$/EOR – transparent ✓</w:t>
            </w:r>
          </w:p>
        </w:tc>
        <w:tc>
          <w:tcPr>
            <w:tcW w:type="dxa" w:w="2592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599$/EOR – transparent ✓</w:t>
            </w:r>
          </w:p>
        </w:tc>
      </w:tr>
      <w:tr>
        <w:tc>
          <w:tcPr>
            <w:tcW w:type="dxa" w:w="18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LinkedIn Ads</w:t>
            </w:r>
          </w:p>
        </w:tc>
        <w:tc>
          <w:tcPr>
            <w:tcW w:type="dxa" w:w="2593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Campagnes génériques</w:t>
            </w:r>
          </w:p>
        </w:tc>
        <w:tc>
          <w:tcPr>
            <w:tcW w:type="dxa" w:w="2593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Retargeting segmenté ICP</w:t>
            </w:r>
          </w:p>
        </w:tc>
        <w:tc>
          <w:tcPr>
            <w:tcW w:type="dxa" w:w="2592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Ciblage vertical FinTech/SaaS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line="320" w:lineRule="auto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4"/>
          <w:szCs w:val="24"/>
        </w:rPr>
        <w:t xml:space="preserve">⚠  Remote capte 36% de trafic organique de plus sur 'hire internationally Europe'. Ce différentiel se creuse sans intervention.</w:t>
      </w:r>
    </w:p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left w:val="single" w:color="C0392B" w:sz="12"/>
        </w:pBdr>
        <w:spacing w:before="150" w:after="70"/>
        <w:ind w:left="1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SWOT &amp; Modèle économique</w:t>
      </w:r>
    </w:p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OPPORTUNITÉS &amp; FORCES</w:t>
            </w:r>
          </w:p>
        </w:tc>
        <w:tc>
          <w:tcPr>
            <w:tcW w:type="dxa" w:w="4819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MENACES &amp; FAIBLESSES</w:t>
            </w:r>
          </w:p>
        </w:tc>
      </w:tr>
      <w:tr>
        <w:tc>
          <w:tcPr>
            <w:tcW w:type="dxa" w:w="4819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✦ Marché EOR EU : 4,2 Md$ CAGR +15% (GVR 2025)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✦ Scale-ups tech EU ×2,4 en 3 ans → ICP idéal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✦ Plateforme EOR+Payroll+HRIS : 150 pays / 37k clients</w:t>
            </w:r>
          </w:p>
        </w:tc>
        <w:tc>
          <w:tcPr>
            <w:tcW w:type="dxa" w:w="4819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✦ Remote &amp; Oyster industrialisent leur acquisition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✦ CAC EU ~1 800€ vs ~1 200€ Remote (Forrester 2024)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✦ Taux conv. visiteur→lead : 1,8% vs benchmark 3%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line="320" w:lineRule="auto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4"/>
          <w:szCs w:val="24"/>
        </w:rPr>
        <w:t xml:space="preserve">Modèle éco : abonnements EOR (~599$/emp/mois), contractors (49$/mois), add-ons HRIS. LTV mid-market 85–250k€ sur 36 mois. Marge brute ~65–70%. Coûts dominés par R&amp;D (~40%) et S&amp;M (~35%).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392B" w:sz="3"/>
        </w:pBdr>
        <w:shd w:fill="1B3A5C" w:val="clear"/>
        <w:spacing w:before="180" w:after="9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3.  RECOMMANDATIONS STRATÉGIQUES</w:t>
      </w:r>
    </w:p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hd w:fill="2563A8" w:val="clear"/>
        <w:spacing w:before="120" w:after="7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AXE 1  ·  PROGRAMME ABM VERTICAL — SCALE-UPS TECH EU 50–500 SALARIÉS  ·  Budget : 198 000€</w:t>
      </w:r>
    </w:p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200"/>
        <w:gridCol w:w="1138"/>
        <w:gridCol w:w="2600"/>
      </w:tblGrid>
      <w:tr>
        <w:trPr>
          <w:tblHeader/>
        </w:trP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concrète</w:t>
            </w:r>
          </w:p>
        </w:tc>
        <w:tc>
          <w:tcPr>
            <w:tcW w:type="dxa" w:w="17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 ?</w:t>
            </w:r>
          </w:p>
        </w:tc>
        <w:tc>
          <w:tcPr>
            <w:tcW w:type="dxa" w:w="1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 ?</w:t>
            </w:r>
          </w:p>
        </w:tc>
        <w:tc>
          <w:tcPr>
            <w:tcW w:type="dxa" w:w="11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</w:t>
            </w:r>
          </w:p>
        </w:tc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 cible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Ciblage 2 000 comptes (Sales Nav + Cognism)</w:t>
            </w:r>
          </w:p>
        </w:tc>
        <w:tc>
          <w:tcPr>
            <w:tcW w:type="dxa" w:w="17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Head Demand Gen EU</w:t>
            </w:r>
          </w:p>
        </w:tc>
        <w:tc>
          <w:tcPr>
            <w:tcW w:type="dxa" w:w="1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M1–M2</w:t>
            </w:r>
          </w:p>
        </w:tc>
        <w:tc>
          <w:tcPr>
            <w:tcW w:type="dxa" w:w="11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8 000€</w:t>
            </w:r>
          </w:p>
        </w:tc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Liste ABM + scoring ICP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 landing pages verticales SaaS/FinTech/DeepTech + calculateur ROI</w:t>
            </w:r>
          </w:p>
        </w:tc>
        <w:tc>
          <w:tcPr>
            <w:tcW w:type="dxa" w:w="17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Growth + Dev</w:t>
            </w:r>
          </w:p>
        </w:tc>
        <w:tc>
          <w:tcPr>
            <w:tcW w:type="dxa" w:w="1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M2–M3</w:t>
            </w:r>
          </w:p>
        </w:tc>
        <w:tc>
          <w:tcPr>
            <w:tcW w:type="dxa" w:w="11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35 000€</w:t>
            </w:r>
          </w:p>
        </w:tc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Conv. ≥ 3,5% vs 1,8%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Campagne LinkedIn Ads 3 touchpoints séquencés (awareness → démo)</w:t>
            </w:r>
          </w:p>
        </w:tc>
        <w:tc>
          <w:tcPr>
            <w:tcW w:type="dxa" w:w="17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Paid Media EU</w:t>
            </w:r>
          </w:p>
        </w:tc>
        <w:tc>
          <w:tcPr>
            <w:tcW w:type="dxa" w:w="1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M3–M12</w:t>
            </w:r>
          </w:p>
        </w:tc>
        <w:tc>
          <w:tcPr>
            <w:tcW w:type="dxa" w:w="11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120 000€</w:t>
            </w:r>
          </w:p>
        </w:tc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CPL &lt; 150€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Séquence outbound + 5 études de cas clients EU</w:t>
            </w:r>
          </w:p>
        </w:tc>
        <w:tc>
          <w:tcPr>
            <w:tcW w:type="dxa" w:w="17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SDR + Content</w:t>
            </w:r>
          </w:p>
        </w:tc>
        <w:tc>
          <w:tcPr>
            <w:tcW w:type="dxa" w:w="1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M2–M12</w:t>
            </w:r>
          </w:p>
        </w:tc>
        <w:tc>
          <w:tcPr>
            <w:tcW w:type="dxa" w:w="11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35 000€</w:t>
            </w:r>
          </w:p>
        </w:tc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Réponse &gt; 12%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563A8" w:val="clear"/>
        <w:spacing w:before="120" w:after="7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AXE 2  ·  NURTURING &amp; SALES ENABLEMENT — RÉDUIRE LE CYCLE DE VENTE DE 27%  ·  Budget : 75 000€</w:t>
      </w:r>
    </w:p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200"/>
        <w:gridCol w:w="1138"/>
        <w:gridCol w:w="2600"/>
      </w:tblGrid>
      <w:tr>
        <w:trPr>
          <w:tblHeader/>
        </w:trP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concrète</w:t>
            </w:r>
          </w:p>
        </w:tc>
        <w:tc>
          <w:tcPr>
            <w:tcW w:type="dxa" w:w="17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 ?</w:t>
            </w:r>
          </w:p>
        </w:tc>
        <w:tc>
          <w:tcPr>
            <w:tcW w:type="dxa" w:w="1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 ?</w:t>
            </w:r>
          </w:p>
        </w:tc>
        <w:tc>
          <w:tcPr>
            <w:tcW w:type="dxa" w:w="11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</w:t>
            </w:r>
          </w:p>
        </w:tc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 cible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Simulateur coût interactif : Deel vs entité locale vs Remote</w:t>
            </w:r>
          </w:p>
        </w:tc>
        <w:tc>
          <w:tcPr>
            <w:tcW w:type="dxa" w:w="17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Growth + Dev</w:t>
            </w:r>
          </w:p>
        </w:tc>
        <w:tc>
          <w:tcPr>
            <w:tcW w:type="dxa" w:w="1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M1–M3</w:t>
            </w:r>
          </w:p>
        </w:tc>
        <w:tc>
          <w:tcPr>
            <w:tcW w:type="dxa" w:w="11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25 000€</w:t>
            </w:r>
          </w:p>
        </w:tc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Outil web embarqué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Nurturing HubSpot — 8 emails / 6 semaines / segmenté secteur</w:t>
            </w:r>
          </w:p>
        </w:tc>
        <w:tc>
          <w:tcPr>
            <w:tcW w:type="dxa" w:w="17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Marketing Ops</w:t>
            </w:r>
          </w:p>
        </w:tc>
        <w:tc>
          <w:tcPr>
            <w:tcW w:type="dxa" w:w="1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M2–M4</w:t>
            </w:r>
          </w:p>
        </w:tc>
        <w:tc>
          <w:tcPr>
            <w:tcW w:type="dxa" w:w="11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20 000€</w:t>
            </w:r>
          </w:p>
        </w:tc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MQL→SQL +40%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Webinaires 'Recruter en EU sans entité' (200 inscrits/session)</w:t>
            </w:r>
          </w:p>
        </w:tc>
        <w:tc>
          <w:tcPr>
            <w:tcW w:type="dxa" w:w="17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Field Marketing EU</w:t>
            </w:r>
          </w:p>
        </w:tc>
        <w:tc>
          <w:tcPr>
            <w:tcW w:type="dxa" w:w="1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M3–M12</w:t>
            </w:r>
          </w:p>
        </w:tc>
        <w:tc>
          <w:tcPr>
            <w:tcW w:type="dxa" w:w="11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18 000€</w:t>
            </w:r>
          </w:p>
        </w:tc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 sessions/an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Battle cards Remote/Oyster + formation équipe vente</w:t>
            </w:r>
          </w:p>
        </w:tc>
        <w:tc>
          <w:tcPr>
            <w:tcW w:type="dxa" w:w="17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Sales Enablement</w:t>
            </w:r>
          </w:p>
        </w:tc>
        <w:tc>
          <w:tcPr>
            <w:tcW w:type="dxa" w:w="1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M1–M2</w:t>
            </w:r>
          </w:p>
        </w:tc>
        <w:tc>
          <w:tcPr>
            <w:tcW w:type="dxa" w:w="11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12 000€</w:t>
            </w:r>
          </w:p>
        </w:tc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Closing +6pts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0392B" w:sz="12"/>
        </w:pBdr>
        <w:spacing w:before="150" w:after="70"/>
        <w:ind w:left="1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Tableau de bord KPI &amp; Synthèse budgétaire</w:t>
      </w:r>
    </w:p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820"/>
        <w:gridCol w:w="3200"/>
        <w:gridCol w:w="1538"/>
      </w:tblGrid>
      <w:tr>
        <w:trPr>
          <w:tblHeader/>
        </w:trPr>
        <w:tc>
          <w:tcPr>
            <w:tcW w:type="dxa" w:w="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Axe</w:t>
            </w:r>
          </w:p>
        </w:tc>
        <w:tc>
          <w:tcPr>
            <w:tcW w:type="dxa" w:w="282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Indicateur clé</w:t>
            </w:r>
          </w:p>
        </w:tc>
        <w:tc>
          <w:tcPr>
            <w:tcW w:type="dxa" w:w="3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Cible chiffrée</w:t>
            </w:r>
          </w:p>
        </w:tc>
        <w:tc>
          <w:tcPr>
            <w:tcW w:type="dxa" w:w="15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Échéance</w:t>
            </w:r>
          </w:p>
        </w:tc>
      </w:tr>
      <w:tr>
        <w:tc>
          <w:tcPr>
            <w:tcW w:type="dxa" w:w="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A1</w:t>
            </w:r>
          </w:p>
        </w:tc>
        <w:tc>
          <w:tcPr>
            <w:tcW w:type="dxa" w:w="282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CAC campagne ABM</w:t>
            </w:r>
          </w:p>
        </w:tc>
        <w:tc>
          <w:tcPr>
            <w:tcW w:type="dxa" w:w="3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D6E8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&lt; 1 200€  (vs 1 800€ actuel)</w:t>
            </w:r>
          </w:p>
        </w:tc>
        <w:tc>
          <w:tcPr>
            <w:tcW w:type="dxa" w:w="15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M6</w:t>
            </w:r>
          </w:p>
        </w:tc>
      </w:tr>
      <w:tr>
        <w:tc>
          <w:tcPr>
            <w:tcW w:type="dxa" w:w="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D6E8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A1</w:t>
            </w:r>
          </w:p>
        </w:tc>
        <w:tc>
          <w:tcPr>
            <w:tcW w:type="dxa" w:w="282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MQL / mois</w:t>
            </w:r>
          </w:p>
        </w:tc>
        <w:tc>
          <w:tcPr>
            <w:tcW w:type="dxa" w:w="3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D6E8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+250 MQL/mois  →  pipeline ≥ 3,5 M€</w:t>
            </w:r>
          </w:p>
        </w:tc>
        <w:tc>
          <w:tcPr>
            <w:tcW w:type="dxa" w:w="15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M6</w:t>
            </w:r>
          </w:p>
        </w:tc>
      </w:tr>
      <w:tr>
        <w:tc>
          <w:tcPr>
            <w:tcW w:type="dxa" w:w="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A1</w:t>
            </w:r>
          </w:p>
        </w:tc>
        <w:tc>
          <w:tcPr>
            <w:tcW w:type="dxa" w:w="282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Conv. landing pages</w:t>
            </w:r>
          </w:p>
        </w:tc>
        <w:tc>
          <w:tcPr>
            <w:tcW w:type="dxa" w:w="3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D6E8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&gt; 3,5%  (vs 1,8% actuel)  →  ROI ×18,9</w:t>
            </w:r>
          </w:p>
        </w:tc>
        <w:tc>
          <w:tcPr>
            <w:tcW w:type="dxa" w:w="15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M5</w:t>
            </w:r>
          </w:p>
        </w:tc>
      </w:tr>
      <w:tr>
        <w:tc>
          <w:tcPr>
            <w:tcW w:type="dxa" w:w="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D6E8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A2</w:t>
            </w:r>
          </w:p>
        </w:tc>
        <w:tc>
          <w:tcPr>
            <w:tcW w:type="dxa" w:w="282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Cycle de vente</w:t>
            </w:r>
          </w:p>
        </w:tc>
        <w:tc>
          <w:tcPr>
            <w:tcW w:type="dxa" w:w="3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D6E8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≤ 38 jours  (vs 52 jours estimé)</w:t>
            </w:r>
          </w:p>
        </w:tc>
        <w:tc>
          <w:tcPr>
            <w:tcW w:type="dxa" w:w="15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M9</w:t>
            </w:r>
          </w:p>
        </w:tc>
      </w:tr>
      <w:tr>
        <w:tc>
          <w:tcPr>
            <w:tcW w:type="dxa" w:w="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A2</w:t>
            </w:r>
          </w:p>
        </w:tc>
        <w:tc>
          <w:tcPr>
            <w:tcW w:type="dxa" w:w="282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Conv. lead → client</w:t>
            </w:r>
          </w:p>
        </w:tc>
        <w:tc>
          <w:tcPr>
            <w:tcW w:type="dxa" w:w="32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D6E8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2"/>
                <w:szCs w:val="22"/>
              </w:rPr>
              <w:t xml:space="preserve">≥ 28%  (vs 18% estimé)  →  ROI ×12</w:t>
            </w:r>
          </w:p>
        </w:tc>
        <w:tc>
          <w:tcPr>
            <w:tcW w:type="dxa" w:w="1538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>M12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9"/>
        <w:gridCol w:w="1680"/>
        <w:gridCol w:w="1680"/>
        <w:gridCol w:w="2159"/>
      </w:tblGrid>
      <w:tr>
        <w:trPr>
          <w:tblHeader/>
        </w:trPr>
        <w:tc>
          <w:tcPr>
            <w:tcW w:type="dxa" w:w="4119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Axe</w:t>
            </w:r>
          </w:p>
        </w:tc>
        <w:tc>
          <w:tcPr>
            <w:tcW w:type="dxa" w:w="1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</w:t>
            </w:r>
          </w:p>
        </w:tc>
        <w:tc>
          <w:tcPr>
            <w:tcW w:type="dxa" w:w="1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ROI estimé</w:t>
            </w:r>
          </w:p>
        </w:tc>
        <w:tc>
          <w:tcPr>
            <w:tcW w:type="dxa" w:w="2159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Break-even</w:t>
            </w:r>
          </w:p>
        </w:tc>
      </w:tr>
      <w:tr>
        <w:tc>
          <w:tcPr>
            <w:tcW w:type="dxa" w:w="4119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Axe 1 — ABM Vertical (scale-ups tech)</w:t>
            </w:r>
          </w:p>
        </w:tc>
        <w:tc>
          <w:tcPr>
            <w:tcW w:type="dxa" w:w="1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198 000€</w:t>
            </w:r>
          </w:p>
        </w:tc>
        <w:tc>
          <w:tcPr>
            <w:tcW w:type="dxa" w:w="1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×18,9</w:t>
            </w:r>
          </w:p>
        </w:tc>
        <w:tc>
          <w:tcPr>
            <w:tcW w:type="dxa" w:w="2159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Mois 8</w:t>
            </w:r>
          </w:p>
        </w:tc>
      </w:tr>
      <w:tr>
        <w:tc>
          <w:tcPr>
            <w:tcW w:type="dxa" w:w="4119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Axe 2 — Nurturing &amp; Sales Enablement</w:t>
            </w:r>
          </w:p>
        </w:tc>
        <w:tc>
          <w:tcPr>
            <w:tcW w:type="dxa" w:w="1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75 000€</w:t>
            </w:r>
          </w:p>
        </w:tc>
        <w:tc>
          <w:tcPr>
            <w:tcW w:type="dxa" w:w="1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×12+</w:t>
            </w:r>
          </w:p>
        </w:tc>
        <w:tc>
          <w:tcPr>
            <w:tcW w:type="dxa" w:w="2159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2F4F7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Mois 7</w:t>
            </w:r>
          </w:p>
        </w:tc>
      </w:tr>
      <w:tr>
        <w:tc>
          <w:tcPr>
            <w:tcW w:type="dxa" w:w="4119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TOTAL — Budget &lt; 0,03% de l'ARR annuel</w:t>
            </w:r>
          </w:p>
        </w:tc>
        <w:tc>
          <w:tcPr>
            <w:tcW w:type="dxa" w:w="1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C0392B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273 000€</w:t>
            </w:r>
          </w:p>
        </w:tc>
        <w:tc>
          <w:tcPr>
            <w:tcW w:type="dxa" w:w="1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0F5132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×12 min.</w:t>
            </w:r>
          </w:p>
        </w:tc>
        <w:tc>
          <w:tcPr>
            <w:tcW w:type="dxa" w:w="2159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Mois 8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392B" w:sz="3"/>
        </w:pBdr>
        <w:shd w:fill="1B3A5C" w:val="clear"/>
        <w:spacing w:before="180" w:after="9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4.  CONCLUSION</w:t>
      </w:r>
    </w:p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left w:val="single" w:color="1B3A5C" w:sz="16"/>
        </w:pBdr>
        <w:shd w:fill="F2F4F7" w:val="clear"/>
        <w:spacing w:line="320" w:lineRule="auto"/>
        <w:ind w:left="160" w:right="120"/>
      </w:pPr>
      <w:r>
        <w:rPr>
          <w:rFonts w:ascii="Arial" w:cs="Arial" w:eastAsia="Arial" w:hAnsi="Arial"/>
          <w:b w:val="false"/>
          <w:bCs w:val="false"/>
          <w:i/>
          <w:iCs/>
          <w:color w:val="1B3A5C"/>
          <w:sz w:val="24"/>
          <w:szCs w:val="24"/>
        </w:rPr>
        <w:t xml:space="preserve">Remote et Oyster industrialisent leur acquisition pendant que Deel dispose d'avantages structurels sous-exploités. La question n'est plus de savoir si Deel doit investir — c'est de le faire avant que l'écart ne se creuse.</w:t>
      </w:r>
    </w:p>
    <w:p>
      <w:pPr>
        <w:spacing w:before="0" w:after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line="32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 déployant un ABM vertical (198k€) et un nurturing structuré (75k€), Deel atteint +20% de MQL (→ 6 000/an), un CAC à 1 200€ et un cycle de vente à 38 jours — pour 273 000€ investis et un ROI ×12 minimum à M12.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B3A5C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+20% MQL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leads qualifiés / an</w:t>
            </w:r>
          </w:p>
        </w:tc>
        <w:tc>
          <w:tcPr>
            <w:tcW w:type="dxa" w:w="3212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C0392B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−27%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durée cycle de vente</w:t>
            </w:r>
          </w:p>
        </w:tc>
        <w:tc>
          <w:tcPr>
            <w:tcW w:type="dxa" w:w="3212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0F5132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ROI ×12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EE7B7"/>
                <w:sz w:val="18"/>
                <w:szCs w:val="18"/>
              </w:rPr>
              <w:t xml:space="preserve">retour investissement M12</w:t>
            </w:r>
          </w:p>
        </w:tc>
      </w:tr>
    </w:tbl>
    <w:p>
      <w:pPr>
        <w:spacing w:before="90" w:after="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17"/>
          <w:szCs w:val="17"/>
        </w:rPr>
        <w:t xml:space="preserve">Note rédigée par le pôle Stratégie &amp; Acquisition Digitale — Mars 2026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ED4DA" w:sz="3"/>
      </w:pBdr>
      <w:spacing w:before="6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4A5568"/>
        <w:sz w:val="17"/>
        <w:szCs w:val="17"/>
      </w:rPr>
      <w:t xml:space="preserve">Confidentiel — Direction Générale Deel  ·  Stratégie &amp; Acquisition Digitale  ·  Mars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/>
      </w:pBdr>
      <w:spacing w:before="0"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4A5568"/>
        <w:sz w:val="18"/>
        <w:szCs w:val="18"/>
      </w:rPr>
      <w:t xml:space="preserve">NOTE D'OPPORTUNITÉ STRATÉGIQUE  ·  </w:t>
    </w:r>
    <w:r>
      <w:rPr>
        <w:rFonts w:ascii="Arial" w:cs="Arial" w:eastAsia="Arial" w:hAnsi="Arial"/>
        <w:b/>
        <w:bCs/>
        <w:i w:val="false"/>
        <w:iCs w:val="false"/>
        <w:color w:val="1B3A5C"/>
        <w:sz w:val="18"/>
        <w:szCs w:val="18"/>
      </w:rPr>
      <w:t xml:space="preserve">DEEL — ACQUISITION B2B EUROPE  · 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2026-03-16T13:06:58.382Z</dcterms:created>
  <dcterms:modified xsi:type="dcterms:W3CDTF">2026-03-16T13:06:58.383Z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