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00A8C8"/>
          <w:sz w:val="56"/>
          <w:szCs w:val="56"/>
        </w:rPr>
        <w:t xml:space="preserve">QUESTIA</w:t>
      </w:r>
    </w:p>
    <w:p>
      <w:pPr>
        <w:spacing w:after="100"/>
        <w:jc w:val="center"/>
      </w:pPr>
      <w:r>
        <w:rPr>
          <w:b/>
          <w:bCs/>
          <w:color w:val="0A0E18"/>
          <w:sz w:val="44"/>
          <w:szCs w:val="44"/>
        </w:rPr>
        <w:t xml:space="preserve">Benchmark concurrentiel</w:t>
      </w:r>
    </w:p>
    <w:p>
      <w:pPr>
        <w:spacing w:after="1600"/>
        <w:jc w:val="center"/>
      </w:pPr>
      <w:r>
        <w:rPr>
          <w:i/>
          <w:iCs/>
          <w:color w:val="586378"/>
          <w:sz w:val="26"/>
          <w:szCs w:val="26"/>
        </w:rPr>
        <w:t xml:space="preserve">Positionnement de l'offre Questia sur le marché de la formation linguistique professionnelle</w:t>
      </w:r>
    </w:p>
    <w:p>
      <w:pPr>
        <w:spacing w:after="100"/>
        <w:jc w:val="center"/>
      </w:pPr>
      <w:r>
        <w:rPr>
          <w:color w:val="586378"/>
          <w:sz w:val="22"/>
          <w:szCs w:val="22"/>
        </w:rPr>
        <w:t xml:space="preserve">Document de travail · Études de positionnement</w:t>
      </w:r>
    </w:p>
    <w:p>
      <w:pPr>
        <w:spacing w:after="4000"/>
        <w:jc w:val="center"/>
      </w:pPr>
      <w:r>
        <w:rPr>
          <w:color w:val="586378"/>
          <w:sz w:val="22"/>
          <w:szCs w:val="22"/>
        </w:rPr>
        <w:t xml:space="preserve">Avril 2026</w:t>
      </w:r>
    </w:p>
    <w:p>
      <w:r>
        <w:br w:type="page"/>
      </w:r>
    </w:p>
    <w:p>
      <w:pPr>
        <w:pStyle w:val="Heading1"/>
        <w:pBdr>
          <w:bottom w:val="single" w:color="00A8C8" w:sz="12" w:space="4"/>
        </w:pBdr>
        <w:spacing w:after="200" w:before="360"/>
      </w:pPr>
      <w:r>
        <w:rPr>
          <w:b/>
          <w:bCs/>
          <w:color w:val="0A0E18"/>
        </w:rPr>
        <w:t xml:space="preserve">Sommaire</w:t>
      </w:r>
    </w:p>
    <w:p>
      <w:pPr>
        <w:pStyle w:val="ListParagraph"/>
        <w:numPr>
          <w:ilvl w:val="0"/>
          <w:numId w:val="2"/>
        </w:numPr>
        <w:spacing w:after="80"/>
      </w:pPr>
      <w:r>
        <w:t xml:space="preserve">1. Contexte et méthodologie</w:t>
      </w:r>
    </w:p>
    <w:p>
      <w:pPr>
        <w:pStyle w:val="ListParagraph"/>
        <w:numPr>
          <w:ilvl w:val="0"/>
          <w:numId w:val="2"/>
        </w:numPr>
        <w:spacing w:after="80"/>
      </w:pPr>
      <w:r>
        <w:t xml:space="preserve">2. Cartographie du marché : 4 segments</w:t>
      </w:r>
    </w:p>
    <w:p>
      <w:pPr>
        <w:pStyle w:val="ListParagraph"/>
        <w:numPr>
          <w:ilvl w:val="0"/>
          <w:numId w:val="2"/>
        </w:numPr>
        <w:spacing w:after="80"/>
      </w:pPr>
      <w:r>
        <w:t xml:space="preserve">3. Analyse détaillée des concurrents directs</w:t>
      </w:r>
    </w:p>
    <w:p>
      <w:pPr>
        <w:pStyle w:val="ListParagraph"/>
        <w:numPr>
          <w:ilvl w:val="0"/>
          <w:numId w:val="2"/>
        </w:numPr>
        <w:spacing w:after="80"/>
      </w:pPr>
      <w:r>
        <w:t xml:space="preserve">4. Analyse des concurrents indirects</w:t>
      </w:r>
    </w:p>
    <w:p>
      <w:pPr>
        <w:pStyle w:val="ListParagraph"/>
        <w:numPr>
          <w:ilvl w:val="0"/>
          <w:numId w:val="2"/>
        </w:numPr>
        <w:spacing w:after="80"/>
      </w:pPr>
      <w:r>
        <w:t xml:space="preserve">5. Tableau de synthèse comparatif</w:t>
      </w:r>
    </w:p>
    <w:p>
      <w:pPr>
        <w:pStyle w:val="ListParagraph"/>
        <w:numPr>
          <w:ilvl w:val="0"/>
          <w:numId w:val="2"/>
        </w:numPr>
        <w:spacing w:after="80"/>
      </w:pPr>
      <w:r>
        <w:t xml:space="preserve">6. Positionnement de Questia : la zone vide identifiée</w:t>
      </w:r>
    </w:p>
    <w:p>
      <w:pPr>
        <w:pStyle w:val="ListParagraph"/>
        <w:numPr>
          <w:ilvl w:val="0"/>
          <w:numId w:val="2"/>
        </w:numPr>
        <w:spacing w:after="80"/>
      </w:pPr>
      <w:r>
        <w:t xml:space="preserve">7. Risques concurrentiels et angles morts</w:t>
      </w:r>
    </w:p>
    <w:p>
      <w:pPr>
        <w:pStyle w:val="ListParagraph"/>
        <w:numPr>
          <w:ilvl w:val="0"/>
          <w:numId w:val="2"/>
        </w:numPr>
        <w:spacing w:after="80"/>
      </w:pPr>
      <w:r>
        <w:t xml:space="preserve">8. Recommandations stratégiques</w:t>
      </w:r>
    </w:p>
    <w:p>
      <w:pPr>
        <w:pStyle w:val="ListParagraph"/>
        <w:numPr>
          <w:ilvl w:val="0"/>
          <w:numId w:val="2"/>
        </w:numPr>
        <w:spacing w:after="80"/>
      </w:pPr>
      <w:r>
        <w:t xml:space="preserve">9. Sources</w:t>
      </w:r>
    </w:p>
    <w:p>
      <w:r>
        <w:br w:type="page"/>
      </w:r>
    </w:p>
    <w:p>
      <w:pPr>
        <w:pStyle w:val="Heading1"/>
        <w:pBdr>
          <w:bottom w:val="single" w:color="00A8C8" w:sz="12" w:space="4"/>
        </w:pBdr>
        <w:spacing w:after="200" w:before="360"/>
      </w:pPr>
      <w:r>
        <w:rPr>
          <w:b/>
          <w:bCs/>
          <w:color w:val="0A0E18"/>
        </w:rPr>
        <w:t xml:space="preserve">1. Contexte et méthodologie</w:t>
      </w:r>
    </w:p>
    <w:p>
      <w:pPr>
        <w:pStyle w:val="Heading2"/>
        <w:spacing w:after="140" w:before="280"/>
      </w:pPr>
      <w:r>
        <w:rPr>
          <w:b/>
          <w:bCs/>
          <w:color w:val="00A8C8"/>
        </w:rPr>
        <w:t xml:space="preserve">Objectif</w:t>
      </w:r>
    </w:p>
    <w:p>
      <w:pPr>
        <w:spacing w:after="120"/>
        <w:jc w:val="left"/>
      </w:pPr>
      <w:r>
        <w:t xml:space="preserve">Ce benchmark analyse l'offre Questia face au marché existant de l'apprentissage des langues à destination des professionnels et de l'éducation supérieure. Il vise à répondre à trois questions :</w:t>
      </w:r>
    </w:p>
    <w:p>
      <w:pPr>
        <w:pStyle w:val="ListParagraph"/>
        <w:numPr>
          <w:ilvl w:val="0"/>
          <w:numId w:val="2"/>
        </w:numPr>
        <w:spacing w:after="80"/>
      </w:pPr>
      <w:r>
        <w:t xml:space="preserve">Que font les concurrents directs et indirects en avril 2026 ?</w:t>
      </w:r>
    </w:p>
    <w:p>
      <w:pPr>
        <w:pStyle w:val="ListParagraph"/>
        <w:numPr>
          <w:ilvl w:val="0"/>
          <w:numId w:val="2"/>
        </w:numPr>
        <w:spacing w:after="80"/>
      </w:pPr>
      <w:r>
        <w:t xml:space="preserve">Quelle est la zone de positionnement la plus défensive et la plus différenciante pour Questia ?</w:t>
      </w:r>
    </w:p>
    <w:p>
      <w:pPr>
        <w:pStyle w:val="ListParagraph"/>
        <w:numPr>
          <w:ilvl w:val="0"/>
          <w:numId w:val="2"/>
        </w:numPr>
        <w:spacing w:after="80"/>
      </w:pPr>
      <w:r>
        <w:t xml:space="preserve">Quels sont les risques concurrentiels à anticiper sur 12-18 mois ?</w:t>
      </w:r>
    </w:p>
    <w:p>
      <w:pPr>
        <w:pStyle w:val="Heading2"/>
        <w:spacing w:after="140" w:before="280"/>
      </w:pPr>
      <w:r>
        <w:rPr>
          <w:b/>
          <w:bCs/>
          <w:color w:val="00A8C8"/>
        </w:rPr>
        <w:t xml:space="preserve">Méthodologie</w:t>
      </w:r>
    </w:p>
    <w:p>
      <w:pPr>
        <w:spacing w:after="120"/>
        <w:jc w:val="left"/>
      </w:pPr>
      <w:r>
        <w:t xml:space="preserve">L'analyse repose sur quatre sources :</w:t>
      </w:r>
    </w:p>
    <w:p>
      <w:pPr>
        <w:pStyle w:val="ListParagraph"/>
        <w:numPr>
          <w:ilvl w:val="0"/>
          <w:numId w:val="2"/>
        </w:numPr>
        <w:spacing w:after="80"/>
      </w:pPr>
      <w:r>
        <w:t xml:space="preserve">Sites officiels des concurrents (consultés en avril 2026)</w:t>
      </w:r>
    </w:p>
    <w:p>
      <w:pPr>
        <w:pStyle w:val="ListParagraph"/>
        <w:numPr>
          <w:ilvl w:val="0"/>
          <w:numId w:val="2"/>
        </w:numPr>
        <w:spacing w:after="80"/>
      </w:pPr>
      <w:r>
        <w:t xml:space="preserve">Études tierces : Capterra, GetApp, NerdWallet, Talkio AI Comparison Reports 2026</w:t>
      </w:r>
    </w:p>
    <w:p>
      <w:pPr>
        <w:pStyle w:val="ListParagraph"/>
        <w:numPr>
          <w:ilvl w:val="0"/>
          <w:numId w:val="2"/>
        </w:numPr>
        <w:spacing w:after="80"/>
      </w:pPr>
      <w:r>
        <w:t xml:space="preserve">Études marché : Centre Inffo Baromètre 2025, Étude GoStudent 2025, Étude Léonard de Vinci x Talan, Slate.fr janvier 2026</w:t>
      </w:r>
    </w:p>
    <w:p>
      <w:pPr>
        <w:pStyle w:val="ListParagraph"/>
        <w:numPr>
          <w:ilvl w:val="0"/>
          <w:numId w:val="2"/>
        </w:numPr>
        <w:spacing w:after="80"/>
      </w:pPr>
      <w:r>
        <w:t xml:space="preserve">Avis utilisateurs vérifiés sur Capterra et GetApp</w:t>
      </w:r>
    </w:p>
    <w:p>
      <w:pPr>
        <w:pStyle w:val="Heading2"/>
        <w:spacing w:after="140" w:before="280"/>
      </w:pPr>
      <w:r>
        <w:rPr>
          <w:b/>
          <w:bCs/>
          <w:color w:val="00A8C8"/>
        </w:rPr>
        <w:t xml:space="preserve">Limites de l'analyse</w:t>
      </w:r>
    </w:p>
    <w:p>
      <w:pPr>
        <w:spacing w:after="120"/>
        <w:jc w:val="left"/>
      </w:pPr>
      <w:r>
        <w:t xml:space="preserve">Trois limites doivent être déclarées :</w:t>
      </w:r>
    </w:p>
    <w:p>
      <w:pPr>
        <w:pStyle w:val="ListParagraph"/>
        <w:numPr>
          <w:ilvl w:val="0"/>
          <w:numId w:val="2"/>
        </w:numPr>
        <w:spacing w:after="80"/>
      </w:pPr>
      <w:r>
        <w:t xml:space="preserve">Les concurrents IA conversationnelle (Talkpal, Langua, Speak) évoluent vite : leurs fonctionnalités peuvent avoir bougé entre la rédaction et la lecture.</w:t>
      </w:r>
    </w:p>
    <w:p>
      <w:pPr>
        <w:pStyle w:val="ListParagraph"/>
        <w:numPr>
          <w:ilvl w:val="0"/>
          <w:numId w:val="2"/>
        </w:numPr>
        <w:spacing w:after="80"/>
      </w:pPr>
      <w:r>
        <w:t xml:space="preserve">Les prix B2B sont rarement publics et basés sur des devis personnalisés. Les estimations citées proviennent de croisements de plusieurs sources.</w:t>
      </w:r>
    </w:p>
    <w:p>
      <w:pPr>
        <w:pStyle w:val="ListParagraph"/>
        <w:numPr>
          <w:ilvl w:val="0"/>
          <w:numId w:val="2"/>
        </w:numPr>
        <w:spacing w:after="80"/>
      </w:pPr>
      <w:r>
        <w:t xml:space="preserve">Aucun entretien terrain n'a été réalisé avec des acheteurs B2B (DRH, directions pédagogiques) à ce stade. Cette étude doit être enrichie par 5 à 10 entretiens qualitatifs avant les premiers pitches.</w:t>
      </w:r>
    </w:p>
    <w:p>
      <w:r>
        <w:br w:type="page"/>
      </w:r>
    </w:p>
    <w:p>
      <w:pPr>
        <w:pStyle w:val="Heading1"/>
        <w:pBdr>
          <w:bottom w:val="single" w:color="00A8C8" w:sz="12" w:space="4"/>
        </w:pBdr>
        <w:spacing w:after="200" w:before="360"/>
      </w:pPr>
      <w:r>
        <w:rPr>
          <w:b/>
          <w:bCs/>
          <w:color w:val="0A0E18"/>
        </w:rPr>
        <w:t xml:space="preserve">2. Cartographie du marché : 4 segments</w:t>
      </w:r>
    </w:p>
    <w:p>
      <w:pPr>
        <w:spacing w:after="120"/>
        <w:jc w:val="left"/>
      </w:pPr>
      <w:r>
        <w:t xml:space="preserve">Le marché de l'apprentissage linguistique B2B se segmente en quatre familles distinctes, qui ne se concurrencent que partiellement entre elles :</w:t>
      </w:r>
    </w:p>
    <w:p>
      <w:pPr>
        <w:pStyle w:val="Heading2"/>
        <w:spacing w:after="140" w:before="280"/>
      </w:pPr>
      <w:r>
        <w:rPr>
          <w:b/>
          <w:bCs/>
          <w:color w:val="00A8C8"/>
        </w:rPr>
        <w:t xml:space="preserve">Segment A — Apps mobiles B2B grand public adaptées au business</w:t>
      </w:r>
    </w:p>
    <w:p>
      <w:pPr>
        <w:spacing w:after="120"/>
        <w:jc w:val="left"/>
      </w:pPr>
      <w:r>
        <w:t xml:space="preserve">Acteurs principaux : Babbel for Business, Rosetta Stone Enterprise, Memrise Business, Mondly Business.</w:t>
      </w:r>
    </w:p>
    <w:p>
      <w:pPr>
        <w:spacing w:after="120"/>
        <w:jc w:val="left"/>
      </w:pPr>
      <w:r>
        <w:t xml:space="preserve">Caractéristiques :</w:t>
      </w:r>
    </w:p>
    <w:p>
      <w:pPr>
        <w:pStyle w:val="ListParagraph"/>
        <w:numPr>
          <w:ilvl w:val="0"/>
          <w:numId w:val="2"/>
        </w:numPr>
        <w:spacing w:after="80"/>
      </w:pPr>
      <w:r>
        <w:t xml:space="preserve">Apps mobiles ergonomiques, leçons courtes (5-15 min)</w:t>
      </w:r>
    </w:p>
    <w:p>
      <w:pPr>
        <w:pStyle w:val="ListParagraph"/>
        <w:numPr>
          <w:ilvl w:val="0"/>
          <w:numId w:val="2"/>
        </w:numPr>
        <w:spacing w:after="80"/>
      </w:pPr>
      <w:r>
        <w:t xml:space="preserve">Pédagogie par répétition espacée + reconnaissance vocale</w:t>
      </w:r>
    </w:p>
    <w:p>
      <w:pPr>
        <w:pStyle w:val="ListParagraph"/>
        <w:numPr>
          <w:ilvl w:val="0"/>
          <w:numId w:val="2"/>
        </w:numPr>
        <w:spacing w:after="80"/>
      </w:pPr>
      <w:r>
        <w:t xml:space="preserve">Catalogue large (10 à 14 langues)</w:t>
      </w:r>
    </w:p>
    <w:p>
      <w:pPr>
        <w:pStyle w:val="ListParagraph"/>
        <w:numPr>
          <w:ilvl w:val="0"/>
          <w:numId w:val="2"/>
        </w:numPr>
        <w:spacing w:after="80"/>
      </w:pPr>
      <w:r>
        <w:t xml:space="preserve">Tarification par utilisateur (~80-150 €/utilisateur/an en B2B)</w:t>
      </w:r>
    </w:p>
    <w:p>
      <w:pPr>
        <w:pStyle w:val="ListParagraph"/>
        <w:numPr>
          <w:ilvl w:val="0"/>
          <w:numId w:val="2"/>
        </w:numPr>
        <w:spacing w:after="80"/>
      </w:pPr>
      <w:r>
        <w:t xml:space="preserve">Dashboard manager basique : suivi de connexion, leçons complétées</w:t>
      </w:r>
    </w:p>
    <w:p>
      <w:pPr>
        <w:pStyle w:val="Heading2"/>
        <w:spacing w:after="140" w:before="280"/>
      </w:pPr>
      <w:r>
        <w:rPr>
          <w:b/>
          <w:bCs/>
          <w:color w:val="00A8C8"/>
        </w:rPr>
        <w:t xml:space="preserve">Segment B — Cours visio avec professeurs natifs</w:t>
      </w:r>
    </w:p>
    <w:p>
      <w:pPr>
        <w:spacing w:after="120"/>
        <w:jc w:val="left"/>
      </w:pPr>
      <w:r>
        <w:t xml:space="preserve">Acteurs principaux : Lingoda Teams, Cambly Business, Preply Business, GoFluent.</w:t>
      </w:r>
    </w:p>
    <w:p>
      <w:pPr>
        <w:spacing w:after="120"/>
        <w:jc w:val="left"/>
      </w:pPr>
      <w:r>
        <w:t xml:space="preserve">Caractéristiques :</w:t>
      </w:r>
    </w:p>
    <w:p>
      <w:pPr>
        <w:pStyle w:val="ListParagraph"/>
        <w:numPr>
          <w:ilvl w:val="0"/>
          <w:numId w:val="2"/>
        </w:numPr>
        <w:spacing w:after="80"/>
      </w:pPr>
      <w:r>
        <w:t xml:space="preserve">Sessions en direct, individuelles ou en petits groupes</w:t>
      </w:r>
    </w:p>
    <w:p>
      <w:pPr>
        <w:pStyle w:val="ListParagraph"/>
        <w:numPr>
          <w:ilvl w:val="0"/>
          <w:numId w:val="2"/>
        </w:numPr>
        <w:spacing w:after="80"/>
      </w:pPr>
      <w:r>
        <w:t xml:space="preserve">Coût élevé (15-50 € par session, 80-200 €/utilisateur/mois)</w:t>
      </w:r>
    </w:p>
    <w:p>
      <w:pPr>
        <w:pStyle w:val="ListParagraph"/>
        <w:numPr>
          <w:ilvl w:val="0"/>
          <w:numId w:val="2"/>
        </w:numPr>
        <w:spacing w:after="80"/>
      </w:pPr>
      <w:r>
        <w:t xml:space="preserve">Qualité dépendante du professeur attribué</w:t>
      </w:r>
    </w:p>
    <w:p>
      <w:pPr>
        <w:pStyle w:val="ListParagraph"/>
        <w:numPr>
          <w:ilvl w:val="0"/>
          <w:numId w:val="2"/>
        </w:numPr>
        <w:spacing w:after="80"/>
      </w:pPr>
      <w:r>
        <w:t xml:space="preserve">Gestion logistique lourde (planning, fuseaux, no-shows)</w:t>
      </w:r>
    </w:p>
    <w:p>
      <w:pPr>
        <w:pStyle w:val="ListParagraph"/>
        <w:numPr>
          <w:ilvl w:val="0"/>
          <w:numId w:val="2"/>
        </w:numPr>
        <w:spacing w:after="80"/>
      </w:pPr>
      <w:r>
        <w:t xml:space="preserve">Forte adoption dans grands groupes pour cadres dirigeants</w:t>
      </w:r>
    </w:p>
    <w:p>
      <w:pPr>
        <w:pStyle w:val="Heading2"/>
        <w:spacing w:after="140" w:before="280"/>
      </w:pPr>
      <w:r>
        <w:rPr>
          <w:b/>
          <w:bCs/>
          <w:color w:val="00A8C8"/>
        </w:rPr>
        <w:t xml:space="preserve">Segment C — IA conversationnelle pure (B2C principalement)</w:t>
      </w:r>
    </w:p>
    <w:p>
      <w:pPr>
        <w:spacing w:after="120"/>
        <w:jc w:val="left"/>
      </w:pPr>
      <w:r>
        <w:t xml:space="preserve">Acteurs principaux : Talkpal AI, Langua, Speak, Praktika, ELSA Speak, Langotalk.</w:t>
      </w:r>
    </w:p>
    <w:p>
      <w:pPr>
        <w:spacing w:after="120"/>
        <w:jc w:val="left"/>
      </w:pPr>
      <w:r>
        <w:t xml:space="preserve">Caractéristiques :</w:t>
      </w:r>
    </w:p>
    <w:p>
      <w:pPr>
        <w:pStyle w:val="ListParagraph"/>
        <w:numPr>
          <w:ilvl w:val="0"/>
          <w:numId w:val="2"/>
        </w:numPr>
        <w:spacing w:after="80"/>
      </w:pPr>
      <w:r>
        <w:t xml:space="preserve">100% IA générative, pas d'humain</w:t>
      </w:r>
    </w:p>
    <w:p>
      <w:pPr>
        <w:pStyle w:val="ListParagraph"/>
        <w:numPr>
          <w:ilvl w:val="0"/>
          <w:numId w:val="2"/>
        </w:numPr>
        <w:spacing w:after="80"/>
      </w:pPr>
      <w:r>
        <w:t xml:space="preserve">Tarification grand public (5-20 €/mois)</w:t>
      </w:r>
    </w:p>
    <w:p>
      <w:pPr>
        <w:pStyle w:val="ListParagraph"/>
        <w:numPr>
          <w:ilvl w:val="0"/>
          <w:numId w:val="2"/>
        </w:numPr>
        <w:spacing w:after="80"/>
      </w:pPr>
      <w:r>
        <w:t xml:space="preserve">Conversation libre, role-plays génériques</w:t>
      </w:r>
    </w:p>
    <w:p>
      <w:pPr>
        <w:pStyle w:val="ListParagraph"/>
        <w:numPr>
          <w:ilvl w:val="0"/>
          <w:numId w:val="2"/>
        </w:numPr>
        <w:spacing w:after="80"/>
      </w:pPr>
      <w:r>
        <w:t xml:space="preserve">Couverture impressionnante : Talkpal couvre plus de 80 langues, Langua plus de 20</w:t>
      </w:r>
    </w:p>
    <w:p>
      <w:pPr>
        <w:pStyle w:val="ListParagraph"/>
        <w:numPr>
          <w:ilvl w:val="0"/>
          <w:numId w:val="2"/>
        </w:numPr>
        <w:spacing w:after="80"/>
      </w:pPr>
      <w:r>
        <w:t xml:space="preserve">Faible présence B2B, aucun n'est certifié Qualiopi à notre connaissance</w:t>
      </w:r>
    </w:p>
    <w:p>
      <w:pPr>
        <w:pStyle w:val="ListParagraph"/>
        <w:numPr>
          <w:ilvl w:val="0"/>
          <w:numId w:val="2"/>
        </w:numPr>
        <w:spacing w:after="80"/>
      </w:pPr>
      <w:r>
        <w:t xml:space="preserve">Limite identifiée par Lingtuitive et Copycat Cafe en février-mars 2026 : feedback peu structuré, voix robotiques sur les modèles à bas prix, pas de progression mesurable CECRL</w:t>
      </w:r>
    </w:p>
    <w:p>
      <w:pPr>
        <w:pStyle w:val="Heading2"/>
        <w:spacing w:after="140" w:before="280"/>
      </w:pPr>
      <w:r>
        <w:rPr>
          <w:b/>
          <w:bCs/>
          <w:color w:val="00A8C8"/>
        </w:rPr>
        <w:t xml:space="preserve">Segment D — Organismes de formation langues classiques (Qualiopi)</w:t>
      </w:r>
    </w:p>
    <w:p>
      <w:pPr>
        <w:spacing w:after="120"/>
        <w:jc w:val="left"/>
      </w:pPr>
      <w:r>
        <w:t xml:space="preserve">Acteurs principaux : CCI Formation, AFPI, Demos, Cegos Languages, ISTPM, IFCAM.</w:t>
      </w:r>
    </w:p>
    <w:p>
      <w:pPr>
        <w:spacing w:after="120"/>
        <w:jc w:val="left"/>
      </w:pPr>
      <w:r>
        <w:t xml:space="preserve">Caractéristiques :</w:t>
      </w:r>
    </w:p>
    <w:p>
      <w:pPr>
        <w:pStyle w:val="ListParagraph"/>
        <w:numPr>
          <w:ilvl w:val="0"/>
          <w:numId w:val="2"/>
        </w:numPr>
        <w:spacing w:after="80"/>
      </w:pPr>
      <w:r>
        <w:t xml:space="preserve">Certification Qualiopi acquise</w:t>
      </w:r>
    </w:p>
    <w:p>
      <w:pPr>
        <w:pStyle w:val="ListParagraph"/>
        <w:numPr>
          <w:ilvl w:val="0"/>
          <w:numId w:val="2"/>
        </w:numPr>
        <w:spacing w:after="80"/>
      </w:pPr>
      <w:r>
        <w:t xml:space="preserve">Pédagogie présentielle ou hybride traditionnelle</w:t>
      </w:r>
    </w:p>
    <w:p>
      <w:pPr>
        <w:pStyle w:val="ListParagraph"/>
        <w:numPr>
          <w:ilvl w:val="0"/>
          <w:numId w:val="2"/>
        </w:numPr>
        <w:spacing w:after="80"/>
      </w:pPr>
      <w:r>
        <w:t xml:space="preserve">Forts financements OPCO et plans de formation entreprise</w:t>
      </w:r>
    </w:p>
    <w:p>
      <w:pPr>
        <w:pStyle w:val="ListParagraph"/>
        <w:numPr>
          <w:ilvl w:val="0"/>
          <w:numId w:val="2"/>
        </w:numPr>
        <w:spacing w:after="80"/>
      </w:pPr>
      <w:r>
        <w:t xml:space="preserve">Faible utilisation d'IA scénarisée (12% formalisé selon Centre Inffo 2025)</w:t>
      </w:r>
    </w:p>
    <w:p>
      <w:pPr>
        <w:pStyle w:val="ListParagraph"/>
        <w:numPr>
          <w:ilvl w:val="0"/>
          <w:numId w:val="2"/>
        </w:numPr>
        <w:spacing w:after="80"/>
      </w:pPr>
      <w:r>
        <w:t xml:space="preserve">Coûts élevés (1 000 à 3 000 € par apprenant pour un parcours)</w:t>
      </w:r>
    </w:p>
    <w:p>
      <w:r>
        <w:br w:type="page"/>
      </w:r>
    </w:p>
    <w:p>
      <w:pPr>
        <w:pStyle w:val="Heading1"/>
        <w:pBdr>
          <w:bottom w:val="single" w:color="00A8C8" w:sz="12" w:space="4"/>
        </w:pBdr>
        <w:spacing w:after="200" w:before="360"/>
      </w:pPr>
      <w:r>
        <w:rPr>
          <w:b/>
          <w:bCs/>
          <w:color w:val="0A0E18"/>
        </w:rPr>
        <w:t xml:space="preserve">3. Analyse détaillée des concurrents directs</w:t>
      </w:r>
    </w:p>
    <w:p>
      <w:pPr>
        <w:pStyle w:val="Heading2"/>
        <w:spacing w:after="140" w:before="280"/>
      </w:pPr>
      <w:r>
        <w:rPr>
          <w:b/>
          <w:bCs/>
          <w:color w:val="00A8C8"/>
        </w:rPr>
        <w:t xml:space="preserve">Babbel for Business</w:t>
      </w:r>
    </w:p>
    <w:p>
      <w:pPr>
        <w:spacing w:after="120"/>
        <w:jc w:val="left"/>
      </w:pPr>
      <w:r>
        <w:rPr>
          <w:b/>
          <w:bCs/>
        </w:rPr>
        <w:t xml:space="preserve">Site : </w:t>
      </w:r>
      <w:r>
        <w:t xml:space="preserve">babbelforbusiness.com</w:t>
      </w:r>
    </w:p>
    <w:p>
      <w:pPr>
        <w:spacing w:after="120"/>
        <w:jc w:val="left"/>
      </w:pPr>
      <w:r>
        <w:rPr>
          <w:b/>
          <w:bCs/>
        </w:rPr>
        <w:t xml:space="preserve">Positionnement : </w:t>
      </w:r>
      <w:r>
        <w:t xml:space="preserve">L'app de référence en langues pour les entreprises, basée sur la marque grand public Babbel.</w:t>
      </w:r>
    </w:p>
    <w:p>
      <w:pPr>
        <w:pStyle w:val="Heading3"/>
        <w:spacing w:after="100" w:before="200"/>
      </w:pPr>
      <w:r>
        <w:rPr>
          <w:b/>
          <w:bCs/>
          <w:color w:val="0A0E18"/>
        </w:rPr>
        <w:t xml:space="preserve">Forces</w:t>
      </w:r>
    </w:p>
    <w:p>
      <w:pPr>
        <w:pStyle w:val="ListParagraph"/>
        <w:numPr>
          <w:ilvl w:val="0"/>
          <w:numId w:val="2"/>
        </w:numPr>
        <w:spacing w:after="80"/>
      </w:pPr>
      <w:r>
        <w:t xml:space="preserve">Marque connue de 10 millions d'utilisateurs cumulés et 1 200+ clients B2B (Capterra)</w:t>
      </w:r>
    </w:p>
    <w:p>
      <w:pPr>
        <w:pStyle w:val="ListParagraph"/>
        <w:numPr>
          <w:ilvl w:val="0"/>
          <w:numId w:val="2"/>
        </w:numPr>
        <w:spacing w:after="80"/>
      </w:pPr>
      <w:r>
        <w:t xml:space="preserve">Catalogue de 14 langues incluant des langues moins courantes (norvégien, indonésien, polonais)</w:t>
      </w:r>
    </w:p>
    <w:p>
      <w:pPr>
        <w:pStyle w:val="ListParagraph"/>
        <w:numPr>
          <w:ilvl w:val="0"/>
          <w:numId w:val="2"/>
        </w:numPr>
        <w:spacing w:after="80"/>
      </w:pPr>
      <w:r>
        <w:t xml:space="preserve">13 000 heures de contenu pédagogique</w:t>
      </w:r>
    </w:p>
    <w:p>
      <w:pPr>
        <w:pStyle w:val="ListParagraph"/>
        <w:numPr>
          <w:ilvl w:val="0"/>
          <w:numId w:val="2"/>
        </w:numPr>
        <w:spacing w:after="80"/>
      </w:pPr>
      <w:r>
        <w:t xml:space="preserve">Intégrations LMS : Degreed, SSO disponible</w:t>
      </w:r>
    </w:p>
    <w:p>
      <w:pPr>
        <w:pStyle w:val="ListParagraph"/>
        <w:numPr>
          <w:ilvl w:val="0"/>
          <w:numId w:val="2"/>
        </w:numPr>
        <w:spacing w:after="80"/>
      </w:pPr>
      <w:r>
        <w:t xml:space="preserve">Customer Success Manager dédié pour les contrats B2B</w:t>
      </w:r>
    </w:p>
    <w:p>
      <w:pPr>
        <w:pStyle w:val="ListParagraph"/>
        <w:numPr>
          <w:ilvl w:val="0"/>
          <w:numId w:val="2"/>
        </w:numPr>
        <w:spacing w:after="80"/>
      </w:pPr>
      <w:r>
        <w:t xml:space="preserve">Adoption d'IA générative annoncée en 2026 (dialogues IA, parcours personnalisés)</w:t>
      </w:r>
    </w:p>
    <w:p>
      <w:pPr>
        <w:pStyle w:val="Heading3"/>
        <w:spacing w:after="100" w:before="200"/>
      </w:pPr>
      <w:r>
        <w:rPr>
          <w:b/>
          <w:bCs/>
          <w:color w:val="0A0E18"/>
        </w:rPr>
        <w:t xml:space="preserve">Faiblesses</w:t>
      </w:r>
    </w:p>
    <w:p>
      <w:pPr>
        <w:pStyle w:val="ListParagraph"/>
        <w:numPr>
          <w:ilvl w:val="0"/>
          <w:numId w:val="2"/>
        </w:numPr>
        <w:spacing w:after="80"/>
      </w:pPr>
      <w:r>
        <w:t xml:space="preserve">Pédagogie par drill et remplissage, pas de simulation contextuelle pro</w:t>
      </w:r>
    </w:p>
    <w:p>
      <w:pPr>
        <w:pStyle w:val="ListParagraph"/>
        <w:numPr>
          <w:ilvl w:val="0"/>
          <w:numId w:val="2"/>
        </w:numPr>
        <w:spacing w:after="80"/>
      </w:pPr>
      <w:r>
        <w:t xml:space="preserve">Avis utilisateurs cohérents : « Vous n'atteindrez pas la fluence avec Babbel, c'est une bonne entrée en matière mais ça reste les bases » (Capterra, plusieurs reviews 2026)</w:t>
      </w:r>
    </w:p>
    <w:p>
      <w:pPr>
        <w:pStyle w:val="ListParagraph"/>
        <w:numPr>
          <w:ilvl w:val="0"/>
          <w:numId w:val="2"/>
        </w:numPr>
        <w:spacing w:after="80"/>
      </w:pPr>
      <w:r>
        <w:t xml:space="preserve">Ne couvre pas le japonais (point critique pour Questia)</w:t>
      </w:r>
    </w:p>
    <w:p>
      <w:pPr>
        <w:pStyle w:val="ListParagraph"/>
        <w:numPr>
          <w:ilvl w:val="0"/>
          <w:numId w:val="2"/>
        </w:numPr>
        <w:spacing w:after="80"/>
      </w:pPr>
      <w:r>
        <w:t xml:space="preserve">Pas de mode immersion business contextualisée par ville/situation</w:t>
      </w:r>
    </w:p>
    <w:p>
      <w:pPr>
        <w:pStyle w:val="ListParagraph"/>
        <w:numPr>
          <w:ilvl w:val="0"/>
          <w:numId w:val="2"/>
        </w:numPr>
        <w:spacing w:after="80"/>
      </w:pPr>
      <w:r>
        <w:t xml:space="preserve">Pas certifié Qualiopi (entreprise allemande, non éligible OPCO directement)</w:t>
      </w:r>
    </w:p>
    <w:p>
      <w:pPr>
        <w:pStyle w:val="ListParagraph"/>
        <w:numPr>
          <w:ilvl w:val="0"/>
          <w:numId w:val="2"/>
        </w:numPr>
        <w:spacing w:after="80"/>
      </w:pPr>
      <w:r>
        <w:t xml:space="preserve">Pas d'API publique</w:t>
      </w:r>
    </w:p>
    <w:p>
      <w:pPr>
        <w:pStyle w:val="Heading3"/>
        <w:spacing w:after="100" w:before="200"/>
      </w:pPr>
      <w:r>
        <w:rPr>
          <w:b/>
          <w:bCs/>
          <w:color w:val="0A0E18"/>
        </w:rPr>
        <w:t xml:space="preserve">Tarification</w:t>
      </w:r>
    </w:p>
    <w:p>
      <w:pPr>
        <w:pStyle w:val="ListParagraph"/>
        <w:numPr>
          <w:ilvl w:val="0"/>
          <w:numId w:val="2"/>
        </w:numPr>
        <w:spacing w:after="80"/>
      </w:pPr>
      <w:r>
        <w:t xml:space="preserve">B2C : 6,99-13,95 €/mois selon durée, ou 299 € à vie</w:t>
      </w:r>
    </w:p>
    <w:p>
      <w:pPr>
        <w:pStyle w:val="ListParagraph"/>
        <w:numPr>
          <w:ilvl w:val="0"/>
          <w:numId w:val="2"/>
        </w:numPr>
        <w:spacing w:after="80"/>
      </w:pPr>
      <w:r>
        <w:t xml:space="preserve">B2B : sur devis, estimation 80-150 €/utilisateur/an selon volume</w:t>
      </w:r>
    </w:p>
    <w:p>
      <w:pPr>
        <w:pStyle w:val="Heading3"/>
        <w:spacing w:after="100" w:before="200"/>
      </w:pPr>
      <w:r>
        <w:rPr>
          <w:b/>
          <w:bCs/>
          <w:color w:val="0A0E18"/>
        </w:rPr>
        <w:t xml:space="preserve">Menace pour Questia</w:t>
      </w:r>
    </w:p>
    <w:p>
      <w:pPr>
        <w:spacing w:after="120"/>
        <w:jc w:val="left"/>
      </w:pPr>
      <w:r>
        <w:t xml:space="preserve">Niveau de menace : MOYEN. Babbel domine sur la notoriété et le catalogue de langues, mais ses faiblesses pédagogiques (pas de simulation) et son absence de certification Qualiopi laissent un espace clair pour Questia. La menace augmenterait significativement si Babbel intégrait sérieusement de la simulation IA scénarisée — annonce 2026 à surveiller.</w:t>
      </w:r>
    </w:p>
    <w:p>
      <w:pPr>
        <w:pStyle w:val="Heading2"/>
        <w:spacing w:after="140" w:before="280"/>
      </w:pPr>
      <w:r>
        <w:rPr>
          <w:b/>
          <w:bCs/>
          <w:color w:val="00A8C8"/>
        </w:rPr>
        <w:t xml:space="preserve">Talkpal AI</w:t>
      </w:r>
    </w:p>
    <w:p>
      <w:pPr>
        <w:spacing w:after="120"/>
        <w:jc w:val="left"/>
      </w:pPr>
      <w:r>
        <w:rPr>
          <w:b/>
          <w:bCs/>
        </w:rPr>
        <w:t xml:space="preserve">Site : </w:t>
      </w:r>
      <w:r>
        <w:t xml:space="preserve">talkpal.ai</w:t>
      </w:r>
    </w:p>
    <w:p>
      <w:pPr>
        <w:spacing w:after="120"/>
        <w:jc w:val="left"/>
      </w:pPr>
      <w:r>
        <w:rPr>
          <w:b/>
          <w:bCs/>
        </w:rPr>
        <w:t xml:space="preserve">Positionnement : </w:t>
      </w:r>
      <w:r>
        <w:t xml:space="preserve">Le challenger IA conversationnelle bon marché à plus large couverture linguistique.</w:t>
      </w:r>
    </w:p>
    <w:p>
      <w:pPr>
        <w:pStyle w:val="Heading3"/>
        <w:spacing w:after="100" w:before="200"/>
      </w:pPr>
      <w:r>
        <w:rPr>
          <w:b/>
          <w:bCs/>
          <w:color w:val="0A0E18"/>
        </w:rPr>
        <w:t xml:space="preserve">Forces</w:t>
      </w:r>
    </w:p>
    <w:p>
      <w:pPr>
        <w:pStyle w:val="ListParagraph"/>
        <w:numPr>
          <w:ilvl w:val="0"/>
          <w:numId w:val="2"/>
        </w:numPr>
        <w:spacing w:after="80"/>
      </w:pPr>
      <w:r>
        <w:t xml:space="preserve">80+ langues supportées, le plus large du marché</w:t>
      </w:r>
    </w:p>
    <w:p>
      <w:pPr>
        <w:pStyle w:val="ListParagraph"/>
        <w:numPr>
          <w:ilvl w:val="0"/>
          <w:numId w:val="2"/>
        </w:numPr>
        <w:spacing w:after="80"/>
      </w:pPr>
      <w:r>
        <w:t xml:space="preserve">9 modes de conversation différents : chat, debate, role-play, character, photo description, phone call audio-only...</w:t>
      </w:r>
    </w:p>
    <w:p>
      <w:pPr>
        <w:pStyle w:val="ListParagraph"/>
        <w:numPr>
          <w:ilvl w:val="0"/>
          <w:numId w:val="2"/>
        </w:numPr>
        <w:spacing w:after="80"/>
      </w:pPr>
      <w:r>
        <w:t xml:space="preserve">Prix très bas : 4,99 €/mois en annuel</w:t>
      </w:r>
    </w:p>
    <w:p>
      <w:pPr>
        <w:pStyle w:val="ListParagraph"/>
        <w:numPr>
          <w:ilvl w:val="0"/>
          <w:numId w:val="2"/>
        </w:numPr>
        <w:spacing w:after="80"/>
      </w:pPr>
      <w:r>
        <w:t xml:space="preserve">1 million de téléchargements, 30 000+ avis Google Play à 4,7/5</w:t>
      </w:r>
    </w:p>
    <w:p>
      <w:pPr>
        <w:pStyle w:val="Heading3"/>
        <w:spacing w:after="100" w:before="200"/>
      </w:pPr>
      <w:r>
        <w:rPr>
          <w:b/>
          <w:bCs/>
          <w:color w:val="0A0E18"/>
        </w:rPr>
        <w:t xml:space="preserve">Faiblesses</w:t>
      </w:r>
    </w:p>
    <w:p>
      <w:pPr>
        <w:pStyle w:val="ListParagraph"/>
        <w:numPr>
          <w:ilvl w:val="0"/>
          <w:numId w:val="2"/>
        </w:numPr>
        <w:spacing w:after="80"/>
      </w:pPr>
      <w:r>
        <w:t xml:space="preserve">Voix synthétiques robotiques (testé dans Lingtuitive, Test Prep Insight)</w:t>
      </w:r>
    </w:p>
    <w:p>
      <w:pPr>
        <w:pStyle w:val="ListParagraph"/>
        <w:numPr>
          <w:ilvl w:val="0"/>
          <w:numId w:val="2"/>
        </w:numPr>
        <w:spacing w:after="80"/>
      </w:pPr>
      <w:r>
        <w:t xml:space="preserve">Erreurs documentées en français (Copycat Cafe 2026 : « Talkpal a fait des erreurs concernantes en français »)</w:t>
      </w:r>
    </w:p>
    <w:p>
      <w:pPr>
        <w:pStyle w:val="ListParagraph"/>
        <w:numPr>
          <w:ilvl w:val="0"/>
          <w:numId w:val="2"/>
        </w:numPr>
        <w:spacing w:after="80"/>
      </w:pPr>
      <w:r>
        <w:t xml:space="preserve">Aucun Spaced Repetition System pour la mémorisation long terme</w:t>
      </w:r>
    </w:p>
    <w:p>
      <w:pPr>
        <w:pStyle w:val="ListParagraph"/>
        <w:numPr>
          <w:ilvl w:val="0"/>
          <w:numId w:val="2"/>
        </w:numPr>
        <w:spacing w:after="80"/>
      </w:pPr>
      <w:r>
        <w:t xml:space="preserve">Pas de cours de grammaire structurés</w:t>
      </w:r>
    </w:p>
    <w:p>
      <w:pPr>
        <w:pStyle w:val="ListParagraph"/>
        <w:numPr>
          <w:ilvl w:val="0"/>
          <w:numId w:val="2"/>
        </w:numPr>
        <w:spacing w:after="80"/>
      </w:pPr>
      <w:r>
        <w:t xml:space="preserve">Pas de focus B2B, pas de plan entreprise visible, pas de Qualiopi</w:t>
      </w:r>
    </w:p>
    <w:p>
      <w:pPr>
        <w:pStyle w:val="ListParagraph"/>
        <w:numPr>
          <w:ilvl w:val="0"/>
          <w:numId w:val="2"/>
        </w:numPr>
        <w:spacing w:after="80"/>
      </w:pPr>
      <w:r>
        <w:t xml:space="preserve">Feedback de pronunciation sans guidage actionnable</w:t>
      </w:r>
    </w:p>
    <w:p>
      <w:pPr>
        <w:pStyle w:val="Heading3"/>
        <w:spacing w:after="100" w:before="200"/>
      </w:pPr>
      <w:r>
        <w:rPr>
          <w:b/>
          <w:bCs/>
          <w:color w:val="0A0E18"/>
        </w:rPr>
        <w:t xml:space="preserve">Tarification</w:t>
      </w:r>
    </w:p>
    <w:p>
      <w:pPr>
        <w:pStyle w:val="ListParagraph"/>
        <w:numPr>
          <w:ilvl w:val="0"/>
          <w:numId w:val="2"/>
        </w:numPr>
        <w:spacing w:after="80"/>
      </w:pPr>
      <w:r>
        <w:t xml:space="preserve">Free : 10 min/jour</w:t>
      </w:r>
    </w:p>
    <w:p>
      <w:pPr>
        <w:pStyle w:val="ListParagraph"/>
        <w:numPr>
          <w:ilvl w:val="0"/>
          <w:numId w:val="2"/>
        </w:numPr>
        <w:spacing w:after="80"/>
      </w:pPr>
      <w:r>
        <w:t xml:space="preserve">Premium : 9,99 €/mois ou 4,99 €/mois en annuel</w:t>
      </w:r>
    </w:p>
    <w:p>
      <w:pPr>
        <w:pStyle w:val="Heading3"/>
        <w:spacing w:after="100" w:before="200"/>
      </w:pPr>
      <w:r>
        <w:rPr>
          <w:b/>
          <w:bCs/>
          <w:color w:val="0A0E18"/>
        </w:rPr>
        <w:t xml:space="preserve">Menace pour Questia</w:t>
      </w:r>
    </w:p>
    <w:p>
      <w:pPr>
        <w:spacing w:after="120"/>
        <w:jc w:val="left"/>
      </w:pPr>
      <w:r>
        <w:t xml:space="preserve">Niveau de menace : FAIBLE en B2B / MOYEN en B2C. Talkpal cible les apprenants individuels low-cost, ne propose pas de scénarisation pédagogique pro et n'a pas de canal B2B. Mais leur capacité technique IA est réelle et ils pourraient pivoter vers le B2B en 2026-2027 avec un produit mieux scénarisé.</w:t>
      </w:r>
    </w:p>
    <w:p>
      <w:pPr>
        <w:pStyle w:val="Heading2"/>
        <w:spacing w:after="140" w:before="280"/>
      </w:pPr>
      <w:r>
        <w:rPr>
          <w:b/>
          <w:bCs/>
          <w:color w:val="00A8C8"/>
        </w:rPr>
        <w:t xml:space="preserve">Langua (LanguaTalk)</w:t>
      </w:r>
    </w:p>
    <w:p>
      <w:pPr>
        <w:spacing w:after="120"/>
        <w:jc w:val="left"/>
      </w:pPr>
      <w:r>
        <w:rPr>
          <w:b/>
          <w:bCs/>
        </w:rPr>
        <w:t xml:space="preserve">Site : </w:t>
      </w:r>
      <w:r>
        <w:t xml:space="preserve">languatalk.com</w:t>
      </w:r>
    </w:p>
    <w:p>
      <w:pPr>
        <w:spacing w:after="120"/>
        <w:jc w:val="left"/>
      </w:pPr>
      <w:r>
        <w:rPr>
          <w:b/>
          <w:bCs/>
        </w:rPr>
        <w:t xml:space="preserve">Positionnement : </w:t>
      </w:r>
      <w:r>
        <w:t xml:space="preserve">L'IA conversationnelle premium avec voix clonées d'humains réels, pour apprenants exigeants.</w:t>
      </w:r>
    </w:p>
    <w:p>
      <w:pPr>
        <w:pStyle w:val="Heading3"/>
        <w:spacing w:after="100" w:before="200"/>
      </w:pPr>
      <w:r>
        <w:rPr>
          <w:b/>
          <w:bCs/>
          <w:color w:val="0A0E18"/>
        </w:rPr>
        <w:t xml:space="preserve">Forces</w:t>
      </w:r>
    </w:p>
    <w:p>
      <w:pPr>
        <w:pStyle w:val="ListParagraph"/>
        <w:numPr>
          <w:ilvl w:val="0"/>
          <w:numId w:val="2"/>
        </w:numPr>
        <w:spacing w:after="80"/>
      </w:pPr>
      <w:r>
        <w:t xml:space="preserve">Voix clonées de YouTubers natifs : conversations naturelles inégalées</w:t>
      </w:r>
    </w:p>
    <w:p>
      <w:pPr>
        <w:pStyle w:val="ListParagraph"/>
        <w:numPr>
          <w:ilvl w:val="0"/>
          <w:numId w:val="2"/>
        </w:numPr>
        <w:spacing w:after="80"/>
      </w:pPr>
      <w:r>
        <w:t xml:space="preserve">Feedback détaillé post-conversation avec catégorisation des erreurs</w:t>
      </w:r>
    </w:p>
    <w:p>
      <w:pPr>
        <w:pStyle w:val="ListParagraph"/>
        <w:numPr>
          <w:ilvl w:val="0"/>
          <w:numId w:val="2"/>
        </w:numPr>
        <w:spacing w:after="80"/>
      </w:pPr>
      <w:r>
        <w:t xml:space="preserve">20+ langues, choix de dialectes par langue (par ex. plusieurs accents espagnols)</w:t>
      </w:r>
    </w:p>
    <w:p>
      <w:pPr>
        <w:pStyle w:val="ListParagraph"/>
        <w:numPr>
          <w:ilvl w:val="0"/>
          <w:numId w:val="2"/>
        </w:numPr>
        <w:spacing w:after="80"/>
      </w:pPr>
      <w:r>
        <w:t xml:space="preserve">Drills grammaticaux générés à partir des erreurs réelles</w:t>
      </w:r>
    </w:p>
    <w:p>
      <w:pPr>
        <w:pStyle w:val="ListParagraph"/>
        <w:numPr>
          <w:ilvl w:val="0"/>
          <w:numId w:val="2"/>
        </w:numPr>
        <w:spacing w:after="80"/>
      </w:pPr>
      <w:r>
        <w:t xml:space="preserve">Reconnu comme "the most realistic AI app" par plusieurs reviewers en 2026</w:t>
      </w:r>
    </w:p>
    <w:p>
      <w:pPr>
        <w:pStyle w:val="Heading3"/>
        <w:spacing w:after="100" w:before="200"/>
      </w:pPr>
      <w:r>
        <w:rPr>
          <w:b/>
          <w:bCs/>
          <w:color w:val="0A0E18"/>
        </w:rPr>
        <w:t xml:space="preserve">Faiblesses</w:t>
      </w:r>
    </w:p>
    <w:p>
      <w:pPr>
        <w:pStyle w:val="ListParagraph"/>
        <w:numPr>
          <w:ilvl w:val="0"/>
          <w:numId w:val="2"/>
        </w:numPr>
        <w:spacing w:after="80"/>
      </w:pPr>
      <w:r>
        <w:t xml:space="preserve">Pas de positionnement B2B, pas de Customer Success, pas d'admin dashboard</w:t>
      </w:r>
    </w:p>
    <w:p>
      <w:pPr>
        <w:pStyle w:val="ListParagraph"/>
        <w:numPr>
          <w:ilvl w:val="0"/>
          <w:numId w:val="2"/>
        </w:numPr>
        <w:spacing w:after="80"/>
      </w:pPr>
      <w:r>
        <w:t xml:space="preserve">Pas certifié Qualiopi</w:t>
      </w:r>
    </w:p>
    <w:p>
      <w:pPr>
        <w:pStyle w:val="ListParagraph"/>
        <w:numPr>
          <w:ilvl w:val="0"/>
          <w:numId w:val="2"/>
        </w:numPr>
        <w:spacing w:after="80"/>
      </w:pPr>
      <w:r>
        <w:t xml:space="preserve">Pas de scénarios B2B contextualisés (négociation procurement, kickoff client, crisis communication)</w:t>
      </w:r>
    </w:p>
    <w:p>
      <w:pPr>
        <w:pStyle w:val="ListParagraph"/>
        <w:numPr>
          <w:ilvl w:val="0"/>
          <w:numId w:val="2"/>
        </w:numPr>
        <w:spacing w:after="80"/>
      </w:pPr>
      <w:r>
        <w:t xml:space="preserve">Pas de progression mesurable CECRL</w:t>
      </w:r>
    </w:p>
    <w:p>
      <w:pPr>
        <w:pStyle w:val="ListParagraph"/>
        <w:numPr>
          <w:ilvl w:val="0"/>
          <w:numId w:val="2"/>
        </w:numPr>
        <w:spacing w:after="80"/>
      </w:pPr>
      <w:r>
        <w:t xml:space="preserve">Free trial limité, prix premium ~10-15 €/mois individu</w:t>
      </w:r>
    </w:p>
    <w:p>
      <w:pPr>
        <w:pStyle w:val="Heading3"/>
        <w:spacing w:after="100" w:before="200"/>
      </w:pPr>
      <w:r>
        <w:rPr>
          <w:b/>
          <w:bCs/>
          <w:color w:val="0A0E18"/>
        </w:rPr>
        <w:t xml:space="preserve">Menace pour Questia</w:t>
      </w:r>
    </w:p>
    <w:p>
      <w:pPr>
        <w:spacing w:after="120"/>
        <w:jc w:val="left"/>
      </w:pPr>
      <w:r>
        <w:t xml:space="preserve">Niveau de menace : FAIBLE aujourd'hui / MOYEN à 12 mois. Langua est techniquement très bon mais reste un produit consumer. S'il pivote en B2B avec ses voix clonées, il deviendrait redoutable. Stratégie de défense : Questia doit doubler sur la SCÉNARISATION B2B (ce que Langua n'a pas) plutôt que de courir après la qualité de voix.</w:t>
      </w:r>
    </w:p>
    <w:p>
      <w:pPr>
        <w:pStyle w:val="Heading2"/>
        <w:spacing w:after="140" w:before="280"/>
      </w:pPr>
      <w:r>
        <w:rPr>
          <w:b/>
          <w:bCs/>
          <w:color w:val="00A8C8"/>
        </w:rPr>
        <w:t xml:space="preserve">Lingoda Teams</w:t>
      </w:r>
    </w:p>
    <w:p>
      <w:pPr>
        <w:spacing w:after="120"/>
        <w:jc w:val="left"/>
      </w:pPr>
      <w:r>
        <w:rPr>
          <w:b/>
          <w:bCs/>
        </w:rPr>
        <w:t xml:space="preserve">Site : </w:t>
      </w:r>
      <w:r>
        <w:t xml:space="preserve">lingoda.com/business</w:t>
      </w:r>
    </w:p>
    <w:p>
      <w:pPr>
        <w:spacing w:after="120"/>
        <w:jc w:val="left"/>
      </w:pPr>
      <w:r>
        <w:rPr>
          <w:b/>
          <w:bCs/>
        </w:rPr>
        <w:t xml:space="preserve">Positionnement : </w:t>
      </w:r>
      <w:r>
        <w:t xml:space="preserve">Cours visio avec vrais professeurs, focus B2B équipes.</w:t>
      </w:r>
    </w:p>
    <w:p>
      <w:pPr>
        <w:pStyle w:val="Heading3"/>
        <w:spacing w:after="100" w:before="200"/>
      </w:pPr>
      <w:r>
        <w:rPr>
          <w:b/>
          <w:bCs/>
          <w:color w:val="0A0E18"/>
        </w:rPr>
        <w:t xml:space="preserve">Forces</w:t>
      </w:r>
    </w:p>
    <w:p>
      <w:pPr>
        <w:pStyle w:val="ListParagraph"/>
        <w:numPr>
          <w:ilvl w:val="0"/>
          <w:numId w:val="2"/>
        </w:numPr>
        <w:spacing w:after="80"/>
      </w:pPr>
      <w:r>
        <w:t xml:space="preserve">Vrais profs natifs certifiés</w:t>
      </w:r>
    </w:p>
    <w:p>
      <w:pPr>
        <w:pStyle w:val="ListParagraph"/>
        <w:numPr>
          <w:ilvl w:val="0"/>
          <w:numId w:val="2"/>
        </w:numPr>
        <w:spacing w:after="80"/>
      </w:pPr>
      <w:r>
        <w:t xml:space="preserve">Sessions individuelles ou en petits groupes (jusqu'à 5)</w:t>
      </w:r>
    </w:p>
    <w:p>
      <w:pPr>
        <w:pStyle w:val="ListParagraph"/>
        <w:numPr>
          <w:ilvl w:val="0"/>
          <w:numId w:val="2"/>
        </w:numPr>
        <w:spacing w:after="80"/>
      </w:pPr>
      <w:r>
        <w:t xml:space="preserve">Engagement humain élevé</w:t>
      </w:r>
    </w:p>
    <w:p>
      <w:pPr>
        <w:pStyle w:val="ListParagraph"/>
        <w:numPr>
          <w:ilvl w:val="0"/>
          <w:numId w:val="2"/>
        </w:numPr>
        <w:spacing w:after="80"/>
      </w:pPr>
      <w:r>
        <w:t xml:space="preserve">Bonne réputation chez les RH</w:t>
      </w:r>
    </w:p>
    <w:p>
      <w:pPr>
        <w:pStyle w:val="Heading3"/>
        <w:spacing w:after="100" w:before="200"/>
      </w:pPr>
      <w:r>
        <w:rPr>
          <w:b/>
          <w:bCs/>
          <w:color w:val="0A0E18"/>
        </w:rPr>
        <w:t xml:space="preserve">Faiblesses</w:t>
      </w:r>
    </w:p>
    <w:p>
      <w:pPr>
        <w:pStyle w:val="ListParagraph"/>
        <w:numPr>
          <w:ilvl w:val="0"/>
          <w:numId w:val="2"/>
        </w:numPr>
        <w:spacing w:after="80"/>
      </w:pPr>
      <w:r>
        <w:t xml:space="preserve">Coût élevé : ~150-200 €/apprenant/mois</w:t>
      </w:r>
    </w:p>
    <w:p>
      <w:pPr>
        <w:pStyle w:val="ListParagraph"/>
        <w:numPr>
          <w:ilvl w:val="0"/>
          <w:numId w:val="2"/>
        </w:numPr>
        <w:spacing w:after="80"/>
      </w:pPr>
      <w:r>
        <w:t xml:space="preserve">Pas scalable : la qualité dépend du prof, planning à gérer</w:t>
      </w:r>
    </w:p>
    <w:p>
      <w:pPr>
        <w:pStyle w:val="ListParagraph"/>
        <w:numPr>
          <w:ilvl w:val="0"/>
          <w:numId w:val="2"/>
        </w:numPr>
        <w:spacing w:after="80"/>
      </w:pPr>
      <w:r>
        <w:t xml:space="preserve">Pas de simulation IA, donc apprenant peut être inhibé devant un humain</w:t>
      </w:r>
    </w:p>
    <w:p>
      <w:pPr>
        <w:pStyle w:val="ListParagraph"/>
        <w:numPr>
          <w:ilvl w:val="0"/>
          <w:numId w:val="2"/>
        </w:numPr>
        <w:spacing w:after="80"/>
      </w:pPr>
      <w:r>
        <w:t xml:space="preserve">Pas d'asynchronisme : il faut être disponible aux horaires des cours</w:t>
      </w:r>
    </w:p>
    <w:p>
      <w:pPr>
        <w:pStyle w:val="ListParagraph"/>
        <w:numPr>
          <w:ilvl w:val="0"/>
          <w:numId w:val="2"/>
        </w:numPr>
        <w:spacing w:after="80"/>
      </w:pPr>
      <w:r>
        <w:t xml:space="preserve">Pas de Qualiopi en propre (mais souvent partenariats avec OF français)</w:t>
      </w:r>
    </w:p>
    <w:p>
      <w:pPr>
        <w:pStyle w:val="Heading3"/>
        <w:spacing w:after="100" w:before="200"/>
      </w:pPr>
      <w:r>
        <w:rPr>
          <w:b/>
          <w:bCs/>
          <w:color w:val="0A0E18"/>
        </w:rPr>
        <w:t xml:space="preserve">Menace pour Questia</w:t>
      </w:r>
    </w:p>
    <w:p>
      <w:pPr>
        <w:spacing w:after="120"/>
        <w:jc w:val="left"/>
      </w:pPr>
      <w:r>
        <w:t xml:space="preserve">Niveau de menace : FAIBLE. Lingoda et Questia ne couvrent pas le même besoin : Lingoda = relation humaine premium pour cadres dirigeants, Questia = simulation scalable pour cohortes 50-500 apprenants. Ils sont COMPLÉMENTAIRES plutôt que concurrents. Un client peut acheter les deux.</w:t>
      </w:r>
    </w:p>
    <w:p>
      <w:pPr>
        <w:pStyle w:val="Heading2"/>
        <w:spacing w:after="140" w:before="280"/>
      </w:pPr>
      <w:r>
        <w:rPr>
          <w:b/>
          <w:bCs/>
          <w:color w:val="00A8C8"/>
        </w:rPr>
        <w:t xml:space="preserve">Speak (yeolco)</w:t>
      </w:r>
    </w:p>
    <w:p>
      <w:pPr>
        <w:spacing w:after="120"/>
        <w:jc w:val="left"/>
      </w:pPr>
      <w:r>
        <w:rPr>
          <w:b/>
          <w:bCs/>
        </w:rPr>
        <w:t xml:space="preserve">Site : </w:t>
      </w:r>
      <w:r>
        <w:t xml:space="preserve">speak.com</w:t>
      </w:r>
    </w:p>
    <w:p>
      <w:pPr>
        <w:spacing w:after="120"/>
        <w:jc w:val="left"/>
      </w:pPr>
      <w:r>
        <w:rPr>
          <w:b/>
          <w:bCs/>
        </w:rPr>
        <w:t xml:space="preserve">Positionnement : </w:t>
      </w:r>
      <w:r>
        <w:t xml:space="preserve">L'IA conversationnelle structurée pour débutants, focus speaking-first.</w:t>
      </w:r>
    </w:p>
    <w:p>
      <w:pPr>
        <w:pStyle w:val="Heading3"/>
        <w:spacing w:after="100" w:before="200"/>
      </w:pPr>
      <w:r>
        <w:rPr>
          <w:b/>
          <w:bCs/>
          <w:color w:val="0A0E18"/>
        </w:rPr>
        <w:t xml:space="preserve">Forces</w:t>
      </w:r>
    </w:p>
    <w:p>
      <w:pPr>
        <w:pStyle w:val="ListParagraph"/>
        <w:numPr>
          <w:ilvl w:val="0"/>
          <w:numId w:val="2"/>
        </w:numPr>
        <w:spacing w:after="80"/>
      </w:pPr>
      <w:r>
        <w:t xml:space="preserve">Approche pédagogique structurée : 5 niveaux progressifs</w:t>
      </w:r>
    </w:p>
    <w:p>
      <w:pPr>
        <w:pStyle w:val="ListParagraph"/>
        <w:numPr>
          <w:ilvl w:val="0"/>
          <w:numId w:val="2"/>
        </w:numPr>
        <w:spacing w:after="80"/>
      </w:pPr>
      <w:r>
        <w:t xml:space="preserve">AI roleplay avec mémoire de contexte</w:t>
      </w:r>
    </w:p>
    <w:p>
      <w:pPr>
        <w:pStyle w:val="ListParagraph"/>
        <w:numPr>
          <w:ilvl w:val="0"/>
          <w:numId w:val="2"/>
        </w:numPr>
        <w:spacing w:after="80"/>
      </w:pPr>
      <w:r>
        <w:t xml:space="preserve">Recommandé par le New York Times Wirecutter 2026</w:t>
      </w:r>
    </w:p>
    <w:p>
      <w:pPr>
        <w:pStyle w:val="ListParagraph"/>
        <w:numPr>
          <w:ilvl w:val="0"/>
          <w:numId w:val="2"/>
        </w:numPr>
        <w:spacing w:after="80"/>
      </w:pPr>
      <w:r>
        <w:t xml:space="preserve">Mobile-first, ergonomie excellente</w:t>
      </w:r>
    </w:p>
    <w:p>
      <w:pPr>
        <w:pStyle w:val="Heading3"/>
        <w:spacing w:after="100" w:before="200"/>
      </w:pPr>
      <w:r>
        <w:rPr>
          <w:b/>
          <w:bCs/>
          <w:color w:val="0A0E18"/>
        </w:rPr>
        <w:t xml:space="preserve">Faiblesses</w:t>
      </w:r>
    </w:p>
    <w:p>
      <w:pPr>
        <w:pStyle w:val="ListParagraph"/>
        <w:numPr>
          <w:ilvl w:val="0"/>
          <w:numId w:val="2"/>
        </w:numPr>
        <w:spacing w:after="80"/>
      </w:pPr>
      <w:r>
        <w:t xml:space="preserve">Seulement 6 langues (allemand et portugais à venir)</w:t>
      </w:r>
    </w:p>
    <w:p>
      <w:pPr>
        <w:pStyle w:val="ListParagraph"/>
        <w:numPr>
          <w:ilvl w:val="0"/>
          <w:numId w:val="2"/>
        </w:numPr>
        <w:spacing w:after="80"/>
      </w:pPr>
      <w:r>
        <w:t xml:space="preserve">Pas de B2B visible</w:t>
      </w:r>
    </w:p>
    <w:p>
      <w:pPr>
        <w:pStyle w:val="ListParagraph"/>
        <w:numPr>
          <w:ilvl w:val="0"/>
          <w:numId w:val="2"/>
        </w:numPr>
        <w:spacing w:after="80"/>
      </w:pPr>
      <w:r>
        <w:t xml:space="preserve">Reconnaissance vocale jugée trop indulgente : « may give a false sense of mastery » (Copycat Cafe 2026)</w:t>
      </w:r>
    </w:p>
    <w:p>
      <w:pPr>
        <w:pStyle w:val="ListParagraph"/>
        <w:numPr>
          <w:ilvl w:val="0"/>
          <w:numId w:val="2"/>
        </w:numPr>
        <w:spacing w:after="80"/>
      </w:pPr>
      <w:r>
        <w:t xml:space="preserve">Pas de scénarios B2B pro</w:t>
      </w:r>
    </w:p>
    <w:p>
      <w:pPr>
        <w:pStyle w:val="Heading3"/>
        <w:spacing w:after="100" w:before="200"/>
      </w:pPr>
      <w:r>
        <w:rPr>
          <w:b/>
          <w:bCs/>
          <w:color w:val="0A0E18"/>
        </w:rPr>
        <w:t xml:space="preserve">Menace pour Questia</w:t>
      </w:r>
    </w:p>
    <w:p>
      <w:pPr>
        <w:spacing w:after="120"/>
        <w:jc w:val="left"/>
      </w:pPr>
      <w:r>
        <w:t xml:space="preserve">Niveau de menace : FAIBLE en B2B. Speak est un excellent produit grand public structuré, mais sa couverture limitée (6 langues) et son absence d'angle pro le mettent hors-zone Questia.</w:t>
      </w:r>
    </w:p>
    <w:p>
      <w:r>
        <w:br w:type="page"/>
      </w:r>
    </w:p>
    <w:p>
      <w:pPr>
        <w:pStyle w:val="Heading1"/>
        <w:pBdr>
          <w:bottom w:val="single" w:color="00A8C8" w:sz="12" w:space="4"/>
        </w:pBdr>
        <w:spacing w:after="200" w:before="360"/>
      </w:pPr>
      <w:r>
        <w:rPr>
          <w:b/>
          <w:bCs/>
          <w:color w:val="0A0E18"/>
        </w:rPr>
        <w:t xml:space="preserve">4. Analyse des concurrents indirects</w:t>
      </w:r>
    </w:p>
    <w:p>
      <w:pPr>
        <w:spacing w:after="120"/>
        <w:jc w:val="left"/>
      </w:pPr>
      <w:r>
        <w:t xml:space="preserve">Les concurrents indirects sont souvent les plus dangereux car ils captent le budget que Questia voudrait obtenir.</w:t>
      </w:r>
    </w:p>
    <w:p>
      <w:pPr>
        <w:pStyle w:val="Heading2"/>
        <w:spacing w:after="140" w:before="280"/>
      </w:pPr>
      <w:r>
        <w:rPr>
          <w:b/>
          <w:bCs/>
          <w:color w:val="00A8C8"/>
        </w:rPr>
        <w:t xml:space="preserve">Le prof de langues salarié de l'école</w:t>
      </w:r>
    </w:p>
    <w:p>
      <w:pPr>
        <w:spacing w:after="120"/>
        <w:jc w:val="left"/>
      </w:pPr>
      <w:r>
        <w:t xml:space="preserve">La plupart des écoles supérieures privées emploient un ou plusieurs professeurs de langues. Le DRH peut considérer Questia comme un complément OU un remplacement.</w:t>
      </w:r>
    </w:p>
    <w:p>
      <w:pPr>
        <w:spacing w:after="120"/>
        <w:jc w:val="left"/>
      </w:pPr>
      <w:r>
        <w:rPr>
          <w:b/>
          <w:bCs/>
        </w:rPr>
        <w:t xml:space="preserve">Argument à anticiper : </w:t>
      </w:r>
      <w:r>
        <w:t xml:space="preserve">« On a déjà un prof d'anglais, pourquoi payer en plus ? »</w:t>
      </w:r>
    </w:p>
    <w:p>
      <w:pPr>
        <w:spacing w:after="120"/>
        <w:jc w:val="left"/>
      </w:pPr>
      <w:r>
        <w:rPr>
          <w:b/>
          <w:bCs/>
        </w:rPr>
        <w:t xml:space="preserve">Réponse Questia : </w:t>
      </w:r>
      <w:r>
        <w:t xml:space="preserve">Questia n'est pas un substitut, c'est un démultiplicateur. Là où le prof voit chaque apprenant 1h/semaine, Questia leur permet 3-5h supplémentaires d'entraînement asynchrone, avec mesure CECRL automatisée. Le prof reste le maître de cérémonie.</w:t>
      </w:r>
    </w:p>
    <w:p>
      <w:pPr>
        <w:pStyle w:val="Heading2"/>
        <w:spacing w:after="140" w:before="280"/>
      </w:pPr>
      <w:r>
        <w:rPr>
          <w:b/>
          <w:bCs/>
          <w:color w:val="00A8C8"/>
        </w:rPr>
        <w:t xml:space="preserve">Les organismes de formation Qualiopi classiques</w:t>
      </w:r>
    </w:p>
    <w:p>
      <w:pPr>
        <w:spacing w:after="120"/>
        <w:jc w:val="left"/>
      </w:pPr>
      <w:r>
        <w:t xml:space="preserve">CCI Formation, Cegos Languages, AFPI, Demos. Ils captent les budgets OPCO entreprises et plans de formation.</w:t>
      </w:r>
    </w:p>
    <w:p>
      <w:pPr>
        <w:spacing w:after="120"/>
        <w:jc w:val="left"/>
      </w:pPr>
      <w:r>
        <w:rPr>
          <w:b/>
          <w:bCs/>
        </w:rPr>
        <w:t xml:space="preserve">Force : </w:t>
      </w:r>
      <w:r>
        <w:t xml:space="preserve">Habitude établie côté acheteurs RH, conformité Qualiopi rodée.</w:t>
      </w:r>
    </w:p>
    <w:p>
      <w:pPr>
        <w:spacing w:after="120"/>
        <w:jc w:val="left"/>
      </w:pPr>
      <w:r>
        <w:rPr>
          <w:b/>
          <w:bCs/>
        </w:rPr>
        <w:t xml:space="preserve">Faiblesse : </w:t>
      </w:r>
      <w:r>
        <w:t xml:space="preserve">Pédagogie 2010, peu d'IA scénarisée. Centre Inffo (Baromètre 2025) : seulement 12% des OF ont formalisé l'usage d'IA dans leur démarche qualité, alors que 34% l'utilisent informellement.</w:t>
      </w:r>
    </w:p>
    <w:p>
      <w:pPr>
        <w:spacing w:after="120"/>
        <w:jc w:val="left"/>
      </w:pPr>
      <w:r>
        <w:t xml:space="preserve">Stratégie Questia : se positionner comme PARTENAIRE des OF Qualiopi (sous-traitance) plutôt que concurrent frontal. C'est ton persona n°2.</w:t>
      </w:r>
    </w:p>
    <w:p>
      <w:pPr>
        <w:pStyle w:val="Heading2"/>
        <w:spacing w:after="140" w:before="280"/>
      </w:pPr>
      <w:r>
        <w:rPr>
          <w:b/>
          <w:bCs/>
          <w:color w:val="00A8C8"/>
        </w:rPr>
        <w:t xml:space="preserve">Les séjours linguistiques pro</w:t>
      </w:r>
    </w:p>
    <w:p>
      <w:pPr>
        <w:spacing w:after="120"/>
        <w:jc w:val="left"/>
      </w:pPr>
      <w:r>
        <w:t xml:space="preserve">Acteurs : EF Corporate, Cactus Language, Tellus Group. Coût très élevé (3 000-15 000 € par cadre), résultats inégaux, logistique lourde.</w:t>
      </w:r>
    </w:p>
    <w:p>
      <w:pPr>
        <w:spacing w:after="120"/>
        <w:jc w:val="left"/>
      </w:pPr>
      <w:r>
        <w:rPr>
          <w:b/>
          <w:bCs/>
        </w:rPr>
        <w:t xml:space="preserve">Argument différenciateur Questia : </w:t>
      </w:r>
      <w:r>
        <w:t xml:space="preserve">Questia délivre 80% du résultat opérationnel d'un séjour à 5% du coût et sans interruption d'activité.</w:t>
      </w:r>
    </w:p>
    <w:p>
      <w:pPr>
        <w:pStyle w:val="Heading2"/>
        <w:spacing w:after="140" w:before="280"/>
      </w:pPr>
      <w:r>
        <w:rPr>
          <w:b/>
          <w:bCs/>
          <w:color w:val="00A8C8"/>
        </w:rPr>
        <w:t xml:space="preserve">Le concurrent silencieux : « ne rien faire »</w:t>
      </w:r>
    </w:p>
    <w:p>
      <w:pPr>
        <w:spacing w:after="120"/>
        <w:jc w:val="left"/>
      </w:pPr>
      <w:r>
        <w:t xml:space="preserve">Le pire concurrent en B2B éducation, c'est le statu quo. Une école qui n'a pas de budget langue dédié va laisser ses apprenants se débrouiller. Une entreprise qui a un budget OPCO non consommé va le perdre. La menace de l'inaction se combat avec l'urgence et la facilité d'achat.</w:t>
      </w:r>
    </w:p>
    <w:p>
      <w:pPr>
        <w:pStyle w:val="Heading2"/>
        <w:spacing w:after="140" w:before="280"/>
      </w:pPr>
      <w:r>
        <w:rPr>
          <w:b/>
          <w:bCs/>
          <w:color w:val="00A8C8"/>
        </w:rPr>
        <w:t xml:space="preserve">Le concurrent émergent : ChatGPT générique</w:t>
      </w:r>
    </w:p>
    <w:p>
      <w:pPr>
        <w:spacing w:after="120"/>
        <w:jc w:val="left"/>
      </w:pPr>
      <w:r>
        <w:t xml:space="preserve">Une partie croissante des apprenants utilise ChatGPT directement pour pratiquer une langue. Selon Slate.fr (janvier 2026), 90% des élèves de seconde en France ont recours à ChatGPT pour leurs devoirs, dont une partie pour les langues.</w:t>
      </w:r>
    </w:p>
    <w:p>
      <w:pPr>
        <w:spacing w:after="120"/>
        <w:jc w:val="left"/>
      </w:pPr>
      <w:r>
        <w:rPr>
          <w:b/>
          <w:bCs/>
        </w:rPr>
        <w:t xml:space="preserve">Argument différenciateur Questia : </w:t>
      </w:r>
      <w:r>
        <w:t xml:space="preserve">ChatGPT est un outil générique sans pédagogie, sans progression mesurée, sans alignement CECRL, sans cadre Qualiopi, sans tracking des résultats. Questia est ChatGPT scénarisé pour la pédagogie pro.</w:t>
      </w:r>
    </w:p>
    <w:p>
      <w:r>
        <w:br w:type="page"/>
      </w:r>
    </w:p>
    <w:p>
      <w:pPr>
        <w:pStyle w:val="Heading1"/>
        <w:pBdr>
          <w:bottom w:val="single" w:color="00A8C8" w:sz="12" w:space="4"/>
        </w:pBdr>
        <w:spacing w:after="200" w:before="360"/>
      </w:pPr>
      <w:r>
        <w:rPr>
          <w:b/>
          <w:bCs/>
          <w:color w:val="0A0E18"/>
        </w:rPr>
        <w:t xml:space="preserve">5. Tableau de synthèse comparatif</w:t>
      </w:r>
    </w:p>
    <w:p>
      <w:pPr>
        <w:spacing w:after="120"/>
        <w:jc w:val="left"/>
      </w:pPr>
      <w:r>
        <w:t xml:space="preserve">Comparaison des fonctionnalités-clés, en avril 2026 :</w:t>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300"/>
        <w:gridCol w:w="1200"/>
        <w:gridCol w:w="1200"/>
        <w:gridCol w:w="1326"/>
      </w:tblGrid>
      <w:tr>
        <w:trPr>
          <w:tblHeader/>
        </w:trPr>
        <w:tc>
          <w:tcPr>
            <w:tcW w:type="dxa" w:w="2400"/>
            <w:tcBorders>
              <w:top w:val="single" w:color="CCCCCC" w:sz="4"/>
              <w:left w:val="single" w:color="CCCCCC" w:sz="4"/>
              <w:bottom w:val="single" w:color="CCCCCC" w:sz="4"/>
              <w:right w:val="single" w:color="CCCCCC" w:sz="4"/>
            </w:tcBorders>
            <w:shd w:fill="00A8C8" w:val="clear"/>
            <w:tcMar>
              <w:top w:type="dxa" w:w="100"/>
              <w:left w:type="dxa" w:w="140"/>
              <w:bottom w:type="dxa" w:w="100"/>
              <w:right w:type="dxa" w:w="140"/>
            </w:tcMar>
            <w:vAlign w:val="center"/>
          </w:tcPr>
          <w:p>
            <w:pPr>
              <w:jc w:val="left"/>
            </w:pPr>
            <w:r>
              <w:rPr>
                <w:b/>
                <w:bCs/>
                <w:color w:val="FFFFFF"/>
                <w:sz w:val="20"/>
                <w:szCs w:val="20"/>
              </w:rPr>
              <w:t xml:space="preserve">Fonctionnalité</w:t>
            </w:r>
          </w:p>
        </w:tc>
        <w:tc>
          <w:tcPr>
            <w:tcW w:type="dxa" w:w="1500"/>
            <w:tcBorders>
              <w:top w:val="single" w:color="CCCCCC" w:sz="4"/>
              <w:left w:val="single" w:color="CCCCCC" w:sz="4"/>
              <w:bottom w:val="single" w:color="CCCCCC" w:sz="4"/>
              <w:right w:val="single" w:color="CCCCCC" w:sz="4"/>
            </w:tcBorders>
            <w:shd w:fill="00A8C8" w:val="clear"/>
            <w:tcMar>
              <w:top w:type="dxa" w:w="100"/>
              <w:left w:type="dxa" w:w="140"/>
              <w:bottom w:type="dxa" w:w="100"/>
              <w:right w:type="dxa" w:w="140"/>
            </w:tcMar>
            <w:vAlign w:val="center"/>
          </w:tcPr>
          <w:p>
            <w:pPr>
              <w:jc w:val="left"/>
            </w:pPr>
            <w:r>
              <w:rPr>
                <w:b/>
                <w:bCs/>
                <w:color w:val="FFFFFF"/>
                <w:sz w:val="20"/>
                <w:szCs w:val="20"/>
              </w:rPr>
              <w:t xml:space="preserve">Questia</w:t>
            </w:r>
          </w:p>
        </w:tc>
        <w:tc>
          <w:tcPr>
            <w:tcW w:type="dxa" w:w="1300"/>
            <w:tcBorders>
              <w:top w:val="single" w:color="CCCCCC" w:sz="4"/>
              <w:left w:val="single" w:color="CCCCCC" w:sz="4"/>
              <w:bottom w:val="single" w:color="CCCCCC" w:sz="4"/>
              <w:right w:val="single" w:color="CCCCCC" w:sz="4"/>
            </w:tcBorders>
            <w:shd w:fill="00A8C8" w:val="clear"/>
            <w:tcMar>
              <w:top w:type="dxa" w:w="100"/>
              <w:left w:type="dxa" w:w="140"/>
              <w:bottom w:type="dxa" w:w="100"/>
              <w:right w:type="dxa" w:w="140"/>
            </w:tcMar>
            <w:vAlign w:val="center"/>
          </w:tcPr>
          <w:p>
            <w:pPr>
              <w:jc w:val="left"/>
            </w:pPr>
            <w:r>
              <w:rPr>
                <w:b/>
                <w:bCs/>
                <w:color w:val="FFFFFF"/>
                <w:sz w:val="20"/>
                <w:szCs w:val="20"/>
              </w:rPr>
              <w:t xml:space="preserve">Babbel B2B</w:t>
            </w:r>
          </w:p>
        </w:tc>
        <w:tc>
          <w:tcPr>
            <w:tcW w:type="dxa" w:w="1200"/>
            <w:tcBorders>
              <w:top w:val="single" w:color="CCCCCC" w:sz="4"/>
              <w:left w:val="single" w:color="CCCCCC" w:sz="4"/>
              <w:bottom w:val="single" w:color="CCCCCC" w:sz="4"/>
              <w:right w:val="single" w:color="CCCCCC" w:sz="4"/>
            </w:tcBorders>
            <w:shd w:fill="00A8C8" w:val="clear"/>
            <w:tcMar>
              <w:top w:type="dxa" w:w="100"/>
              <w:left w:type="dxa" w:w="140"/>
              <w:bottom w:type="dxa" w:w="100"/>
              <w:right w:type="dxa" w:w="140"/>
            </w:tcMar>
            <w:vAlign w:val="center"/>
          </w:tcPr>
          <w:p>
            <w:pPr>
              <w:jc w:val="left"/>
            </w:pPr>
            <w:r>
              <w:rPr>
                <w:b/>
                <w:bCs/>
                <w:color w:val="FFFFFF"/>
                <w:sz w:val="20"/>
                <w:szCs w:val="20"/>
              </w:rPr>
              <w:t xml:space="preserve">Talkpal</w:t>
            </w:r>
          </w:p>
        </w:tc>
        <w:tc>
          <w:tcPr>
            <w:tcW w:type="dxa" w:w="1200"/>
            <w:tcBorders>
              <w:top w:val="single" w:color="CCCCCC" w:sz="4"/>
              <w:left w:val="single" w:color="CCCCCC" w:sz="4"/>
              <w:bottom w:val="single" w:color="CCCCCC" w:sz="4"/>
              <w:right w:val="single" w:color="CCCCCC" w:sz="4"/>
            </w:tcBorders>
            <w:shd w:fill="00A8C8" w:val="clear"/>
            <w:tcMar>
              <w:top w:type="dxa" w:w="100"/>
              <w:left w:type="dxa" w:w="140"/>
              <w:bottom w:type="dxa" w:w="100"/>
              <w:right w:type="dxa" w:w="140"/>
            </w:tcMar>
            <w:vAlign w:val="center"/>
          </w:tcPr>
          <w:p>
            <w:pPr>
              <w:jc w:val="left"/>
            </w:pPr>
            <w:r>
              <w:rPr>
                <w:b/>
                <w:bCs/>
                <w:color w:val="FFFFFF"/>
                <w:sz w:val="20"/>
                <w:szCs w:val="20"/>
              </w:rPr>
              <w:t xml:space="preserve">Langua</w:t>
            </w:r>
          </w:p>
        </w:tc>
        <w:tc>
          <w:tcPr>
            <w:tcW w:type="dxa" w:w="1326"/>
            <w:tcBorders>
              <w:top w:val="single" w:color="CCCCCC" w:sz="4"/>
              <w:left w:val="single" w:color="CCCCCC" w:sz="4"/>
              <w:bottom w:val="single" w:color="CCCCCC" w:sz="4"/>
              <w:right w:val="single" w:color="CCCCCC" w:sz="4"/>
            </w:tcBorders>
            <w:shd w:fill="00A8C8" w:val="clear"/>
            <w:tcMar>
              <w:top w:type="dxa" w:w="100"/>
              <w:left w:type="dxa" w:w="140"/>
              <w:bottom w:type="dxa" w:w="100"/>
              <w:right w:type="dxa" w:w="140"/>
            </w:tcMar>
            <w:vAlign w:val="center"/>
          </w:tcPr>
          <w:p>
            <w:pPr>
              <w:jc w:val="left"/>
            </w:pPr>
            <w:r>
              <w:rPr>
                <w:b/>
                <w:bCs/>
                <w:color w:val="FFFFFF"/>
                <w:sz w:val="20"/>
                <w:szCs w:val="20"/>
              </w:rPr>
              <w:t xml:space="preserve">Lingoda</w:t>
            </w:r>
          </w:p>
        </w:tc>
      </w:tr>
      <w:tr>
        <w:tc>
          <w:tcPr>
            <w:tcW w:type="dxa" w:w="2400"/>
            <w:tcBorders>
              <w:top w:val="single" w:color="CCCCCC" w:sz="4"/>
              <w:left w:val="single" w:color="CCCCCC" w:sz="4"/>
              <w:bottom w:val="single" w:color="CCCCCC" w:sz="4"/>
              <w:right w:val="single" w:color="CCCCCC" w:sz="4"/>
            </w:tcBorders>
            <w:shd w:fill="F7F8FB" w:val="clear"/>
            <w:tcMar>
              <w:top w:type="dxa" w:w="100"/>
              <w:left w:type="dxa" w:w="140"/>
              <w:bottom w:type="dxa" w:w="100"/>
              <w:right w:type="dxa" w:w="140"/>
            </w:tcMar>
            <w:vAlign w:val="center"/>
          </w:tcPr>
          <w:p>
            <w:pPr>
              <w:jc w:val="left"/>
            </w:pPr>
            <w:r>
              <w:rPr>
                <w:b/>
                <w:bCs/>
                <w:color w:val="0A0E18"/>
                <w:sz w:val="20"/>
                <w:szCs w:val="20"/>
              </w:rPr>
              <w:t xml:space="preserve">Simulations scénarisées B2B</w:t>
            </w:r>
          </w:p>
        </w:tc>
        <w:tc>
          <w:tcPr>
            <w:tcW w:type="dxa" w:w="1500"/>
            <w:tcBorders>
              <w:top w:val="single" w:color="CCCCCC" w:sz="4"/>
              <w:left w:val="single" w:color="CCCCCC" w:sz="4"/>
              <w:bottom w:val="single" w:color="CCCCCC" w:sz="4"/>
              <w:right w:val="single" w:color="CCCCCC" w:sz="4"/>
            </w:tcBorders>
            <w:shd w:fill="E8FBFC" w:val="clear"/>
            <w:tcMar>
              <w:top w:type="dxa" w:w="100"/>
              <w:left w:type="dxa" w:w="140"/>
              <w:bottom w:type="dxa" w:w="100"/>
              <w:right w:type="dxa" w:w="140"/>
            </w:tcMar>
            <w:vAlign w:val="center"/>
          </w:tcPr>
          <w:p>
            <w:pPr>
              <w:jc w:val="left"/>
            </w:pPr>
            <w:r>
              <w:rPr>
                <w:b w:val="false"/>
                <w:bCs w:val="false"/>
                <w:color w:val="0A0E18"/>
                <w:sz w:val="20"/>
                <w:szCs w:val="20"/>
              </w:rPr>
              <w:t xml:space="preserve">✓ 11 villes</w:t>
            </w:r>
          </w:p>
        </w:tc>
        <w:tc>
          <w:tcPr>
            <w:tcW w:type="dxa" w:w="1300"/>
            <w:tcBorders>
              <w:top w:val="single" w:color="CCCCCC" w:sz="4"/>
              <w:left w:val="single" w:color="CCCCCC" w:sz="4"/>
              <w:bottom w:val="single" w:color="CCCCCC" w:sz="4"/>
              <w:right w:val="single" w:color="CCCCCC" w:sz="4"/>
            </w:tcBorders>
            <w:shd w:fill="F7F8FB" w:val="clear"/>
            <w:tcMar>
              <w:top w:type="dxa" w:w="100"/>
              <w:left w:type="dxa" w:w="140"/>
              <w:bottom w:type="dxa" w:w="100"/>
              <w:right w:type="dxa" w:w="140"/>
            </w:tcMar>
            <w:vAlign w:val="center"/>
          </w:tcPr>
          <w:p>
            <w:pPr>
              <w:jc w:val="left"/>
            </w:pPr>
            <w:r>
              <w:rPr>
                <w:b w:val="false"/>
                <w:bCs w:val="false"/>
                <w:color w:val="0A0E18"/>
                <w:sz w:val="20"/>
                <w:szCs w:val="20"/>
              </w:rPr>
              <w:t xml:space="preserve">✗ Drills</w:t>
            </w:r>
          </w:p>
        </w:tc>
        <w:tc>
          <w:tcPr>
            <w:tcW w:type="dxa" w:w="1200"/>
            <w:tcBorders>
              <w:top w:val="single" w:color="CCCCCC" w:sz="4"/>
              <w:left w:val="single" w:color="CCCCCC" w:sz="4"/>
              <w:bottom w:val="single" w:color="CCCCCC" w:sz="4"/>
              <w:right w:val="single" w:color="CCCCCC" w:sz="4"/>
            </w:tcBorders>
            <w:shd w:fill="F7F8FB" w:val="clear"/>
            <w:tcMar>
              <w:top w:type="dxa" w:w="100"/>
              <w:left w:type="dxa" w:w="140"/>
              <w:bottom w:type="dxa" w:w="100"/>
              <w:right w:type="dxa" w:w="140"/>
            </w:tcMar>
            <w:vAlign w:val="center"/>
          </w:tcPr>
          <w:p>
            <w:pPr>
              <w:jc w:val="left"/>
            </w:pPr>
            <w:r>
              <w:rPr>
                <w:b w:val="false"/>
                <w:bCs w:val="false"/>
                <w:color w:val="0A0E18"/>
                <w:sz w:val="20"/>
                <w:szCs w:val="20"/>
              </w:rPr>
              <w:t xml:space="preserve">Partiel</w:t>
            </w:r>
          </w:p>
        </w:tc>
        <w:tc>
          <w:tcPr>
            <w:tcW w:type="dxa" w:w="1200"/>
            <w:tcBorders>
              <w:top w:val="single" w:color="CCCCCC" w:sz="4"/>
              <w:left w:val="single" w:color="CCCCCC" w:sz="4"/>
              <w:bottom w:val="single" w:color="CCCCCC" w:sz="4"/>
              <w:right w:val="single" w:color="CCCCCC" w:sz="4"/>
            </w:tcBorders>
            <w:shd w:fill="F7F8FB" w:val="clear"/>
            <w:tcMar>
              <w:top w:type="dxa" w:w="100"/>
              <w:left w:type="dxa" w:w="140"/>
              <w:bottom w:type="dxa" w:w="100"/>
              <w:right w:type="dxa" w:w="140"/>
            </w:tcMar>
            <w:vAlign w:val="center"/>
          </w:tcPr>
          <w:p>
            <w:pPr>
              <w:jc w:val="left"/>
            </w:pPr>
            <w:r>
              <w:rPr>
                <w:b w:val="false"/>
                <w:bCs w:val="false"/>
                <w:color w:val="0A0E18"/>
                <w:sz w:val="20"/>
                <w:szCs w:val="20"/>
              </w:rPr>
              <w:t xml:space="preserve">✗ Free chat</w:t>
            </w:r>
          </w:p>
        </w:tc>
        <w:tc>
          <w:tcPr>
            <w:tcW w:type="dxa" w:w="1326"/>
            <w:tcBorders>
              <w:top w:val="single" w:color="CCCCCC" w:sz="4"/>
              <w:left w:val="single" w:color="CCCCCC" w:sz="4"/>
              <w:bottom w:val="single" w:color="CCCCCC" w:sz="4"/>
              <w:right w:val="single" w:color="CCCCCC" w:sz="4"/>
            </w:tcBorders>
            <w:shd w:fill="F7F8FB" w:val="clear"/>
            <w:tcMar>
              <w:top w:type="dxa" w:w="100"/>
              <w:left w:type="dxa" w:w="140"/>
              <w:bottom w:type="dxa" w:w="100"/>
              <w:right w:type="dxa" w:w="140"/>
            </w:tcMar>
            <w:vAlign w:val="center"/>
          </w:tcPr>
          <w:p>
            <w:pPr>
              <w:jc w:val="left"/>
            </w:pPr>
            <w:r>
              <w:rPr>
                <w:b w:val="false"/>
                <w:bCs w:val="false"/>
                <w:color w:val="0A0E18"/>
                <w:sz w:val="20"/>
                <w:szCs w:val="20"/>
              </w:rPr>
              <w:t xml:space="preserve">Selon prof</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bCs/>
                <w:color w:val="0A0E18"/>
                <w:sz w:val="20"/>
                <w:szCs w:val="20"/>
              </w:rPr>
              <w:t xml:space="preserve">Mode groupe + Coach IA</w:t>
            </w:r>
          </w:p>
        </w:tc>
        <w:tc>
          <w:tcPr>
            <w:tcW w:type="dxa" w:w="1500"/>
            <w:tcBorders>
              <w:top w:val="single" w:color="CCCCCC" w:sz="4"/>
              <w:left w:val="single" w:color="CCCCCC" w:sz="4"/>
              <w:bottom w:val="single" w:color="CCCCCC" w:sz="4"/>
              <w:right w:val="single" w:color="CCCCCC" w:sz="4"/>
            </w:tcBorders>
            <w:shd w:fill="E8FBFC" w:val="clear"/>
            <w:tcMar>
              <w:top w:type="dxa" w:w="100"/>
              <w:left w:type="dxa" w:w="140"/>
              <w:bottom w:type="dxa" w:w="100"/>
              <w:right w:type="dxa" w:w="140"/>
            </w:tcMar>
            <w:vAlign w:val="center"/>
          </w:tcPr>
          <w:p>
            <w:pPr>
              <w:jc w:val="left"/>
            </w:pPr>
            <w:r>
              <w:rPr>
                <w:b w:val="false"/>
                <w:bCs w:val="false"/>
                <w:color w:val="0A0E18"/>
                <w:sz w:val="20"/>
                <w:szCs w:val="20"/>
              </w:rPr>
              <w:t xml:space="preserve">✓</w:t>
            </w:r>
          </w:p>
        </w:tc>
        <w:tc>
          <w:tcPr>
            <w:tcW w:type="dxa" w:w="13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color w:val="0A0E18"/>
                <w:sz w:val="20"/>
                <w:szCs w:val="20"/>
              </w:rPr>
              <w:t xml:space="preserve">✗</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color w:val="0A0E18"/>
                <w:sz w:val="20"/>
                <w:szCs w:val="20"/>
              </w:rPr>
              <w:t xml:space="preserve">✗</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color w:val="0A0E18"/>
                <w:sz w:val="20"/>
                <w:szCs w:val="20"/>
              </w:rPr>
              <w:t xml:space="preserve">✗</w:t>
            </w:r>
          </w:p>
        </w:tc>
        <w:tc>
          <w:tcPr>
            <w:tcW w:type="dxa" w:w="1326"/>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color w:val="0A0E18"/>
                <w:sz w:val="20"/>
                <w:szCs w:val="20"/>
              </w:rPr>
              <w:t xml:space="preserve">Petits groupes</w:t>
            </w:r>
          </w:p>
        </w:tc>
      </w:tr>
      <w:tr>
        <w:tc>
          <w:tcPr>
            <w:tcW w:type="dxa" w:w="2400"/>
            <w:tcBorders>
              <w:top w:val="single" w:color="CCCCCC" w:sz="4"/>
              <w:left w:val="single" w:color="CCCCCC" w:sz="4"/>
              <w:bottom w:val="single" w:color="CCCCCC" w:sz="4"/>
              <w:right w:val="single" w:color="CCCCCC" w:sz="4"/>
            </w:tcBorders>
            <w:shd w:fill="F7F8FB" w:val="clear"/>
            <w:tcMar>
              <w:top w:type="dxa" w:w="100"/>
              <w:left w:type="dxa" w:w="140"/>
              <w:bottom w:type="dxa" w:w="100"/>
              <w:right w:type="dxa" w:w="140"/>
            </w:tcMar>
            <w:vAlign w:val="center"/>
          </w:tcPr>
          <w:p>
            <w:pPr>
              <w:jc w:val="left"/>
            </w:pPr>
            <w:r>
              <w:rPr>
                <w:b/>
                <w:bCs/>
                <w:color w:val="0A0E18"/>
                <w:sz w:val="20"/>
                <w:szCs w:val="20"/>
              </w:rPr>
              <w:t xml:space="preserve">Alignement CECRL</w:t>
            </w:r>
          </w:p>
        </w:tc>
        <w:tc>
          <w:tcPr>
            <w:tcW w:type="dxa" w:w="1500"/>
            <w:tcBorders>
              <w:top w:val="single" w:color="CCCCCC" w:sz="4"/>
              <w:left w:val="single" w:color="CCCCCC" w:sz="4"/>
              <w:bottom w:val="single" w:color="CCCCCC" w:sz="4"/>
              <w:right w:val="single" w:color="CCCCCC" w:sz="4"/>
            </w:tcBorders>
            <w:shd w:fill="E8FBFC" w:val="clear"/>
            <w:tcMar>
              <w:top w:type="dxa" w:w="100"/>
              <w:left w:type="dxa" w:w="140"/>
              <w:bottom w:type="dxa" w:w="100"/>
              <w:right w:type="dxa" w:w="140"/>
            </w:tcMar>
            <w:vAlign w:val="center"/>
          </w:tcPr>
          <w:p>
            <w:pPr>
              <w:jc w:val="left"/>
            </w:pPr>
            <w:r>
              <w:rPr>
                <w:b w:val="false"/>
                <w:bCs w:val="false"/>
                <w:color w:val="0A0E18"/>
                <w:sz w:val="20"/>
                <w:szCs w:val="20"/>
              </w:rPr>
              <w:t xml:space="preserve">✓ Mesuré</w:t>
            </w:r>
          </w:p>
        </w:tc>
        <w:tc>
          <w:tcPr>
            <w:tcW w:type="dxa" w:w="1300"/>
            <w:tcBorders>
              <w:top w:val="single" w:color="CCCCCC" w:sz="4"/>
              <w:left w:val="single" w:color="CCCCCC" w:sz="4"/>
              <w:bottom w:val="single" w:color="CCCCCC" w:sz="4"/>
              <w:right w:val="single" w:color="CCCCCC" w:sz="4"/>
            </w:tcBorders>
            <w:shd w:fill="F7F8FB" w:val="clear"/>
            <w:tcMar>
              <w:top w:type="dxa" w:w="100"/>
              <w:left w:type="dxa" w:w="140"/>
              <w:bottom w:type="dxa" w:w="100"/>
              <w:right w:type="dxa" w:w="140"/>
            </w:tcMar>
            <w:vAlign w:val="center"/>
          </w:tcPr>
          <w:p>
            <w:pPr>
              <w:jc w:val="left"/>
            </w:pPr>
            <w:r>
              <w:rPr>
                <w:b w:val="false"/>
                <w:bCs w:val="false"/>
                <w:color w:val="0A0E18"/>
                <w:sz w:val="20"/>
                <w:szCs w:val="20"/>
              </w:rPr>
              <w:t xml:space="preserve">Auto-déclaré</w:t>
            </w:r>
          </w:p>
        </w:tc>
        <w:tc>
          <w:tcPr>
            <w:tcW w:type="dxa" w:w="1200"/>
            <w:tcBorders>
              <w:top w:val="single" w:color="CCCCCC" w:sz="4"/>
              <w:left w:val="single" w:color="CCCCCC" w:sz="4"/>
              <w:bottom w:val="single" w:color="CCCCCC" w:sz="4"/>
              <w:right w:val="single" w:color="CCCCCC" w:sz="4"/>
            </w:tcBorders>
            <w:shd w:fill="F7F8FB" w:val="clear"/>
            <w:tcMar>
              <w:top w:type="dxa" w:w="100"/>
              <w:left w:type="dxa" w:w="140"/>
              <w:bottom w:type="dxa" w:w="100"/>
              <w:right w:type="dxa" w:w="140"/>
            </w:tcMar>
            <w:vAlign w:val="center"/>
          </w:tcPr>
          <w:p>
            <w:pPr>
              <w:jc w:val="left"/>
            </w:pPr>
            <w:r>
              <w:rPr>
                <w:b w:val="false"/>
                <w:bCs w:val="false"/>
                <w:color w:val="0A0E18"/>
                <w:sz w:val="20"/>
                <w:szCs w:val="20"/>
              </w:rPr>
              <w:t xml:space="preserve">Niveaux A1-C2</w:t>
            </w:r>
          </w:p>
        </w:tc>
        <w:tc>
          <w:tcPr>
            <w:tcW w:type="dxa" w:w="1200"/>
            <w:tcBorders>
              <w:top w:val="single" w:color="CCCCCC" w:sz="4"/>
              <w:left w:val="single" w:color="CCCCCC" w:sz="4"/>
              <w:bottom w:val="single" w:color="CCCCCC" w:sz="4"/>
              <w:right w:val="single" w:color="CCCCCC" w:sz="4"/>
            </w:tcBorders>
            <w:shd w:fill="F7F8FB" w:val="clear"/>
            <w:tcMar>
              <w:top w:type="dxa" w:w="100"/>
              <w:left w:type="dxa" w:w="140"/>
              <w:bottom w:type="dxa" w:w="100"/>
              <w:right w:type="dxa" w:w="140"/>
            </w:tcMar>
            <w:vAlign w:val="center"/>
          </w:tcPr>
          <w:p>
            <w:pPr>
              <w:jc w:val="left"/>
            </w:pPr>
            <w:r>
              <w:rPr>
                <w:b w:val="false"/>
                <w:bCs w:val="false"/>
                <w:color w:val="0A0E18"/>
                <w:sz w:val="20"/>
                <w:szCs w:val="20"/>
              </w:rPr>
              <w:t xml:space="preserve">Partiel</w:t>
            </w:r>
          </w:p>
        </w:tc>
        <w:tc>
          <w:tcPr>
            <w:tcW w:type="dxa" w:w="1326"/>
            <w:tcBorders>
              <w:top w:val="single" w:color="CCCCCC" w:sz="4"/>
              <w:left w:val="single" w:color="CCCCCC" w:sz="4"/>
              <w:bottom w:val="single" w:color="CCCCCC" w:sz="4"/>
              <w:right w:val="single" w:color="CCCCCC" w:sz="4"/>
            </w:tcBorders>
            <w:shd w:fill="F7F8FB" w:val="clear"/>
            <w:tcMar>
              <w:top w:type="dxa" w:w="100"/>
              <w:left w:type="dxa" w:w="140"/>
              <w:bottom w:type="dxa" w:w="100"/>
              <w:right w:type="dxa" w:w="140"/>
            </w:tcMar>
            <w:vAlign w:val="center"/>
          </w:tcPr>
          <w:p>
            <w:pPr>
              <w:jc w:val="left"/>
            </w:pPr>
            <w:r>
              <w:rPr>
                <w:b w:val="false"/>
                <w:bCs w:val="false"/>
                <w:color w:val="0A0E18"/>
                <w:sz w:val="20"/>
                <w:szCs w:val="20"/>
              </w:rPr>
              <w:t xml:space="preserve">✓</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bCs/>
                <w:color w:val="0A0E18"/>
                <w:sz w:val="20"/>
                <w:szCs w:val="20"/>
              </w:rPr>
              <w:t xml:space="preserve">Certification Qualiopi</w:t>
            </w:r>
          </w:p>
        </w:tc>
        <w:tc>
          <w:tcPr>
            <w:tcW w:type="dxa" w:w="1500"/>
            <w:tcBorders>
              <w:top w:val="single" w:color="CCCCCC" w:sz="4"/>
              <w:left w:val="single" w:color="CCCCCC" w:sz="4"/>
              <w:bottom w:val="single" w:color="CCCCCC" w:sz="4"/>
              <w:right w:val="single" w:color="CCCCCC" w:sz="4"/>
            </w:tcBorders>
            <w:shd w:fill="E8FBFC" w:val="clear"/>
            <w:tcMar>
              <w:top w:type="dxa" w:w="100"/>
              <w:left w:type="dxa" w:w="140"/>
              <w:bottom w:type="dxa" w:w="100"/>
              <w:right w:type="dxa" w:w="140"/>
            </w:tcMar>
            <w:vAlign w:val="center"/>
          </w:tcPr>
          <w:p>
            <w:pPr>
              <w:jc w:val="left"/>
            </w:pPr>
            <w:r>
              <w:rPr>
                <w:b w:val="false"/>
                <w:bCs w:val="false"/>
                <w:color w:val="0A0E18"/>
                <w:sz w:val="20"/>
                <w:szCs w:val="20"/>
              </w:rPr>
              <w:t xml:space="preserve">En cours</w:t>
            </w:r>
          </w:p>
        </w:tc>
        <w:tc>
          <w:tcPr>
            <w:tcW w:type="dxa" w:w="13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color w:val="0A0E18"/>
                <w:sz w:val="20"/>
                <w:szCs w:val="20"/>
              </w:rPr>
              <w:t xml:space="preserve">✗</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color w:val="0A0E18"/>
                <w:sz w:val="20"/>
                <w:szCs w:val="20"/>
              </w:rPr>
              <w:t xml:space="preserve">✗</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color w:val="0A0E18"/>
                <w:sz w:val="20"/>
                <w:szCs w:val="20"/>
              </w:rPr>
              <w:t xml:space="preserve">✗</w:t>
            </w:r>
          </w:p>
        </w:tc>
        <w:tc>
          <w:tcPr>
            <w:tcW w:type="dxa" w:w="1326"/>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color w:val="0A0E18"/>
                <w:sz w:val="20"/>
                <w:szCs w:val="20"/>
              </w:rPr>
              <w:t xml:space="preserve">Via partenaires</w:t>
            </w:r>
          </w:p>
        </w:tc>
      </w:tr>
      <w:tr>
        <w:tc>
          <w:tcPr>
            <w:tcW w:type="dxa" w:w="2400"/>
            <w:tcBorders>
              <w:top w:val="single" w:color="CCCCCC" w:sz="4"/>
              <w:left w:val="single" w:color="CCCCCC" w:sz="4"/>
              <w:bottom w:val="single" w:color="CCCCCC" w:sz="4"/>
              <w:right w:val="single" w:color="CCCCCC" w:sz="4"/>
            </w:tcBorders>
            <w:shd w:fill="F7F8FB" w:val="clear"/>
            <w:tcMar>
              <w:top w:type="dxa" w:w="100"/>
              <w:left w:type="dxa" w:w="140"/>
              <w:bottom w:type="dxa" w:w="100"/>
              <w:right w:type="dxa" w:w="140"/>
            </w:tcMar>
            <w:vAlign w:val="center"/>
          </w:tcPr>
          <w:p>
            <w:pPr>
              <w:jc w:val="left"/>
            </w:pPr>
            <w:r>
              <w:rPr>
                <w:b/>
                <w:bCs/>
                <w:color w:val="0A0E18"/>
                <w:sz w:val="20"/>
                <w:szCs w:val="20"/>
              </w:rPr>
              <w:t xml:space="preserve">Dashboard formateur live</w:t>
            </w:r>
          </w:p>
        </w:tc>
        <w:tc>
          <w:tcPr>
            <w:tcW w:type="dxa" w:w="1500"/>
            <w:tcBorders>
              <w:top w:val="single" w:color="CCCCCC" w:sz="4"/>
              <w:left w:val="single" w:color="CCCCCC" w:sz="4"/>
              <w:bottom w:val="single" w:color="CCCCCC" w:sz="4"/>
              <w:right w:val="single" w:color="CCCCCC" w:sz="4"/>
            </w:tcBorders>
            <w:shd w:fill="E8FBFC" w:val="clear"/>
            <w:tcMar>
              <w:top w:type="dxa" w:w="100"/>
              <w:left w:type="dxa" w:w="140"/>
              <w:bottom w:type="dxa" w:w="100"/>
              <w:right w:type="dxa" w:w="140"/>
            </w:tcMar>
            <w:vAlign w:val="center"/>
          </w:tcPr>
          <w:p>
            <w:pPr>
              <w:jc w:val="left"/>
            </w:pPr>
            <w:r>
              <w:rPr>
                <w:b w:val="false"/>
                <w:bCs w:val="false"/>
                <w:color w:val="0A0E18"/>
                <w:sz w:val="20"/>
                <w:szCs w:val="20"/>
              </w:rPr>
              <w:t xml:space="preserve">✓</w:t>
            </w:r>
          </w:p>
        </w:tc>
        <w:tc>
          <w:tcPr>
            <w:tcW w:type="dxa" w:w="1300"/>
            <w:tcBorders>
              <w:top w:val="single" w:color="CCCCCC" w:sz="4"/>
              <w:left w:val="single" w:color="CCCCCC" w:sz="4"/>
              <w:bottom w:val="single" w:color="CCCCCC" w:sz="4"/>
              <w:right w:val="single" w:color="CCCCCC" w:sz="4"/>
            </w:tcBorders>
            <w:shd w:fill="F7F8FB" w:val="clear"/>
            <w:tcMar>
              <w:top w:type="dxa" w:w="100"/>
              <w:left w:type="dxa" w:w="140"/>
              <w:bottom w:type="dxa" w:w="100"/>
              <w:right w:type="dxa" w:w="140"/>
            </w:tcMar>
            <w:vAlign w:val="center"/>
          </w:tcPr>
          <w:p>
            <w:pPr>
              <w:jc w:val="left"/>
            </w:pPr>
            <w:r>
              <w:rPr>
                <w:b w:val="false"/>
                <w:bCs w:val="false"/>
                <w:color w:val="0A0E18"/>
                <w:sz w:val="20"/>
                <w:szCs w:val="20"/>
              </w:rPr>
              <w:t xml:space="preserve">✓ basique</w:t>
            </w:r>
          </w:p>
        </w:tc>
        <w:tc>
          <w:tcPr>
            <w:tcW w:type="dxa" w:w="1200"/>
            <w:tcBorders>
              <w:top w:val="single" w:color="CCCCCC" w:sz="4"/>
              <w:left w:val="single" w:color="CCCCCC" w:sz="4"/>
              <w:bottom w:val="single" w:color="CCCCCC" w:sz="4"/>
              <w:right w:val="single" w:color="CCCCCC" w:sz="4"/>
            </w:tcBorders>
            <w:shd w:fill="F7F8FB" w:val="clear"/>
            <w:tcMar>
              <w:top w:type="dxa" w:w="100"/>
              <w:left w:type="dxa" w:w="140"/>
              <w:bottom w:type="dxa" w:w="100"/>
              <w:right w:type="dxa" w:w="140"/>
            </w:tcMar>
            <w:vAlign w:val="center"/>
          </w:tcPr>
          <w:p>
            <w:pPr>
              <w:jc w:val="left"/>
            </w:pPr>
            <w:r>
              <w:rPr>
                <w:b w:val="false"/>
                <w:bCs w:val="false"/>
                <w:color w:val="0A0E18"/>
                <w:sz w:val="20"/>
                <w:szCs w:val="20"/>
              </w:rPr>
              <w:t xml:space="preserve">✗</w:t>
            </w:r>
          </w:p>
        </w:tc>
        <w:tc>
          <w:tcPr>
            <w:tcW w:type="dxa" w:w="1200"/>
            <w:tcBorders>
              <w:top w:val="single" w:color="CCCCCC" w:sz="4"/>
              <w:left w:val="single" w:color="CCCCCC" w:sz="4"/>
              <w:bottom w:val="single" w:color="CCCCCC" w:sz="4"/>
              <w:right w:val="single" w:color="CCCCCC" w:sz="4"/>
            </w:tcBorders>
            <w:shd w:fill="F7F8FB" w:val="clear"/>
            <w:tcMar>
              <w:top w:type="dxa" w:w="100"/>
              <w:left w:type="dxa" w:w="140"/>
              <w:bottom w:type="dxa" w:w="100"/>
              <w:right w:type="dxa" w:w="140"/>
            </w:tcMar>
            <w:vAlign w:val="center"/>
          </w:tcPr>
          <w:p>
            <w:pPr>
              <w:jc w:val="left"/>
            </w:pPr>
            <w:r>
              <w:rPr>
                <w:b w:val="false"/>
                <w:bCs w:val="false"/>
                <w:color w:val="0A0E18"/>
                <w:sz w:val="20"/>
                <w:szCs w:val="20"/>
              </w:rPr>
              <w:t xml:space="preserve">✗</w:t>
            </w:r>
          </w:p>
        </w:tc>
        <w:tc>
          <w:tcPr>
            <w:tcW w:type="dxa" w:w="1326"/>
            <w:tcBorders>
              <w:top w:val="single" w:color="CCCCCC" w:sz="4"/>
              <w:left w:val="single" w:color="CCCCCC" w:sz="4"/>
              <w:bottom w:val="single" w:color="CCCCCC" w:sz="4"/>
              <w:right w:val="single" w:color="CCCCCC" w:sz="4"/>
            </w:tcBorders>
            <w:shd w:fill="F7F8FB" w:val="clear"/>
            <w:tcMar>
              <w:top w:type="dxa" w:w="100"/>
              <w:left w:type="dxa" w:w="140"/>
              <w:bottom w:type="dxa" w:w="100"/>
              <w:right w:type="dxa" w:w="140"/>
            </w:tcMar>
            <w:vAlign w:val="center"/>
          </w:tcPr>
          <w:p>
            <w:pPr>
              <w:jc w:val="left"/>
            </w:pPr>
            <w:r>
              <w:rPr>
                <w:b w:val="false"/>
                <w:bCs w:val="false"/>
                <w:color w:val="0A0E18"/>
                <w:sz w:val="20"/>
                <w:szCs w:val="20"/>
              </w:rPr>
              <w:t xml:space="preserve">✓ basique</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bCs/>
                <w:color w:val="0A0E18"/>
                <w:sz w:val="20"/>
                <w:szCs w:val="20"/>
              </w:rPr>
              <w:t xml:space="preserve">Export SCORM / xAPI</w:t>
            </w:r>
          </w:p>
        </w:tc>
        <w:tc>
          <w:tcPr>
            <w:tcW w:type="dxa" w:w="1500"/>
            <w:tcBorders>
              <w:top w:val="single" w:color="CCCCCC" w:sz="4"/>
              <w:left w:val="single" w:color="CCCCCC" w:sz="4"/>
              <w:bottom w:val="single" w:color="CCCCCC" w:sz="4"/>
              <w:right w:val="single" w:color="CCCCCC" w:sz="4"/>
            </w:tcBorders>
            <w:shd w:fill="E8FBFC" w:val="clear"/>
            <w:tcMar>
              <w:top w:type="dxa" w:w="100"/>
              <w:left w:type="dxa" w:w="140"/>
              <w:bottom w:type="dxa" w:w="100"/>
              <w:right w:type="dxa" w:w="140"/>
            </w:tcMar>
            <w:vAlign w:val="center"/>
          </w:tcPr>
          <w:p>
            <w:pPr>
              <w:jc w:val="left"/>
            </w:pPr>
            <w:r>
              <w:rPr>
                <w:b w:val="false"/>
                <w:bCs w:val="false"/>
                <w:color w:val="0A0E18"/>
                <w:sz w:val="20"/>
                <w:szCs w:val="20"/>
              </w:rPr>
              <w:t xml:space="preserve">Annoncé</w:t>
            </w:r>
          </w:p>
        </w:tc>
        <w:tc>
          <w:tcPr>
            <w:tcW w:type="dxa" w:w="13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color w:val="0A0E18"/>
                <w:sz w:val="20"/>
                <w:szCs w:val="20"/>
              </w:rPr>
              <w:t xml:space="preserve">Limité (Degreed)</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color w:val="0A0E18"/>
                <w:sz w:val="20"/>
                <w:szCs w:val="20"/>
              </w:rPr>
              <w:t xml:space="preserve">✗</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color w:val="0A0E18"/>
                <w:sz w:val="20"/>
                <w:szCs w:val="20"/>
              </w:rPr>
              <w:t xml:space="preserve">✗</w:t>
            </w:r>
          </w:p>
        </w:tc>
        <w:tc>
          <w:tcPr>
            <w:tcW w:type="dxa" w:w="1326"/>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color w:val="0A0E18"/>
                <w:sz w:val="20"/>
                <w:szCs w:val="20"/>
              </w:rPr>
              <w:t xml:space="preserve">Variable</w:t>
            </w:r>
          </w:p>
        </w:tc>
      </w:tr>
      <w:tr>
        <w:tc>
          <w:tcPr>
            <w:tcW w:type="dxa" w:w="2400"/>
            <w:tcBorders>
              <w:top w:val="single" w:color="CCCCCC" w:sz="4"/>
              <w:left w:val="single" w:color="CCCCCC" w:sz="4"/>
              <w:bottom w:val="single" w:color="CCCCCC" w:sz="4"/>
              <w:right w:val="single" w:color="CCCCCC" w:sz="4"/>
            </w:tcBorders>
            <w:shd w:fill="F7F8FB" w:val="clear"/>
            <w:tcMar>
              <w:top w:type="dxa" w:w="100"/>
              <w:left w:type="dxa" w:w="140"/>
              <w:bottom w:type="dxa" w:w="100"/>
              <w:right w:type="dxa" w:w="140"/>
            </w:tcMar>
            <w:vAlign w:val="center"/>
          </w:tcPr>
          <w:p>
            <w:pPr>
              <w:jc w:val="left"/>
            </w:pPr>
            <w:r>
              <w:rPr>
                <w:b/>
                <w:bCs/>
                <w:color w:val="0A0E18"/>
                <w:sz w:val="20"/>
                <w:szCs w:val="20"/>
              </w:rPr>
              <w:t xml:space="preserve">Couverture langues</w:t>
            </w:r>
          </w:p>
        </w:tc>
        <w:tc>
          <w:tcPr>
            <w:tcW w:type="dxa" w:w="1500"/>
            <w:tcBorders>
              <w:top w:val="single" w:color="CCCCCC" w:sz="4"/>
              <w:left w:val="single" w:color="CCCCCC" w:sz="4"/>
              <w:bottom w:val="single" w:color="CCCCCC" w:sz="4"/>
              <w:right w:val="single" w:color="CCCCCC" w:sz="4"/>
            </w:tcBorders>
            <w:shd w:fill="E8FBFC" w:val="clear"/>
            <w:tcMar>
              <w:top w:type="dxa" w:w="100"/>
              <w:left w:type="dxa" w:w="140"/>
              <w:bottom w:type="dxa" w:w="100"/>
              <w:right w:type="dxa" w:w="140"/>
            </w:tcMar>
            <w:vAlign w:val="center"/>
          </w:tcPr>
          <w:p>
            <w:pPr>
              <w:jc w:val="left"/>
            </w:pPr>
            <w:r>
              <w:rPr>
                <w:b w:val="false"/>
                <w:bCs w:val="false"/>
                <w:color w:val="0A0E18"/>
                <w:sz w:val="20"/>
                <w:szCs w:val="20"/>
              </w:rPr>
              <w:t xml:space="preserve">4 (ES/EN/DE/JA)</w:t>
            </w:r>
          </w:p>
        </w:tc>
        <w:tc>
          <w:tcPr>
            <w:tcW w:type="dxa" w:w="1300"/>
            <w:tcBorders>
              <w:top w:val="single" w:color="CCCCCC" w:sz="4"/>
              <w:left w:val="single" w:color="CCCCCC" w:sz="4"/>
              <w:bottom w:val="single" w:color="CCCCCC" w:sz="4"/>
              <w:right w:val="single" w:color="CCCCCC" w:sz="4"/>
            </w:tcBorders>
            <w:shd w:fill="F7F8FB" w:val="clear"/>
            <w:tcMar>
              <w:top w:type="dxa" w:w="100"/>
              <w:left w:type="dxa" w:w="140"/>
              <w:bottom w:type="dxa" w:w="100"/>
              <w:right w:type="dxa" w:w="140"/>
            </w:tcMar>
            <w:vAlign w:val="center"/>
          </w:tcPr>
          <w:p>
            <w:pPr>
              <w:jc w:val="left"/>
            </w:pPr>
            <w:r>
              <w:rPr>
                <w:b w:val="false"/>
                <w:bCs w:val="false"/>
                <w:color w:val="0A0E18"/>
                <w:sz w:val="20"/>
                <w:szCs w:val="20"/>
              </w:rPr>
              <w:t xml:space="preserve">14</w:t>
            </w:r>
          </w:p>
        </w:tc>
        <w:tc>
          <w:tcPr>
            <w:tcW w:type="dxa" w:w="1200"/>
            <w:tcBorders>
              <w:top w:val="single" w:color="CCCCCC" w:sz="4"/>
              <w:left w:val="single" w:color="CCCCCC" w:sz="4"/>
              <w:bottom w:val="single" w:color="CCCCCC" w:sz="4"/>
              <w:right w:val="single" w:color="CCCCCC" w:sz="4"/>
            </w:tcBorders>
            <w:shd w:fill="F7F8FB" w:val="clear"/>
            <w:tcMar>
              <w:top w:type="dxa" w:w="100"/>
              <w:left w:type="dxa" w:w="140"/>
              <w:bottom w:type="dxa" w:w="100"/>
              <w:right w:type="dxa" w:w="140"/>
            </w:tcMar>
            <w:vAlign w:val="center"/>
          </w:tcPr>
          <w:p>
            <w:pPr>
              <w:jc w:val="left"/>
            </w:pPr>
            <w:r>
              <w:rPr>
                <w:b w:val="false"/>
                <w:bCs w:val="false"/>
                <w:color w:val="0A0E18"/>
                <w:sz w:val="20"/>
                <w:szCs w:val="20"/>
              </w:rPr>
              <w:t xml:space="preserve">80+</w:t>
            </w:r>
          </w:p>
        </w:tc>
        <w:tc>
          <w:tcPr>
            <w:tcW w:type="dxa" w:w="1200"/>
            <w:tcBorders>
              <w:top w:val="single" w:color="CCCCCC" w:sz="4"/>
              <w:left w:val="single" w:color="CCCCCC" w:sz="4"/>
              <w:bottom w:val="single" w:color="CCCCCC" w:sz="4"/>
              <w:right w:val="single" w:color="CCCCCC" w:sz="4"/>
            </w:tcBorders>
            <w:shd w:fill="F7F8FB" w:val="clear"/>
            <w:tcMar>
              <w:top w:type="dxa" w:w="100"/>
              <w:left w:type="dxa" w:w="140"/>
              <w:bottom w:type="dxa" w:w="100"/>
              <w:right w:type="dxa" w:w="140"/>
            </w:tcMar>
            <w:vAlign w:val="center"/>
          </w:tcPr>
          <w:p>
            <w:pPr>
              <w:jc w:val="left"/>
            </w:pPr>
            <w:r>
              <w:rPr>
                <w:b w:val="false"/>
                <w:bCs w:val="false"/>
                <w:color w:val="0A0E18"/>
                <w:sz w:val="20"/>
                <w:szCs w:val="20"/>
              </w:rPr>
              <w:t xml:space="preserve">20+</w:t>
            </w:r>
          </w:p>
        </w:tc>
        <w:tc>
          <w:tcPr>
            <w:tcW w:type="dxa" w:w="1326"/>
            <w:tcBorders>
              <w:top w:val="single" w:color="CCCCCC" w:sz="4"/>
              <w:left w:val="single" w:color="CCCCCC" w:sz="4"/>
              <w:bottom w:val="single" w:color="CCCCCC" w:sz="4"/>
              <w:right w:val="single" w:color="CCCCCC" w:sz="4"/>
            </w:tcBorders>
            <w:shd w:fill="F7F8FB" w:val="clear"/>
            <w:tcMar>
              <w:top w:type="dxa" w:w="100"/>
              <w:left w:type="dxa" w:w="140"/>
              <w:bottom w:type="dxa" w:w="100"/>
              <w:right w:type="dxa" w:w="140"/>
            </w:tcMar>
            <w:vAlign w:val="center"/>
          </w:tcPr>
          <w:p>
            <w:pPr>
              <w:jc w:val="left"/>
            </w:pPr>
            <w:r>
              <w:rPr>
                <w:b w:val="false"/>
                <w:bCs w:val="false"/>
                <w:color w:val="0A0E18"/>
                <w:sz w:val="20"/>
                <w:szCs w:val="20"/>
              </w:rPr>
              <w:t xml:space="preserve">10+</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bCs/>
                <w:color w:val="0A0E18"/>
                <w:sz w:val="20"/>
                <w:szCs w:val="20"/>
              </w:rPr>
              <w:t xml:space="preserve">Japonais avec keigo</w:t>
            </w:r>
          </w:p>
        </w:tc>
        <w:tc>
          <w:tcPr>
            <w:tcW w:type="dxa" w:w="1500"/>
            <w:tcBorders>
              <w:top w:val="single" w:color="CCCCCC" w:sz="4"/>
              <w:left w:val="single" w:color="CCCCCC" w:sz="4"/>
              <w:bottom w:val="single" w:color="CCCCCC" w:sz="4"/>
              <w:right w:val="single" w:color="CCCCCC" w:sz="4"/>
            </w:tcBorders>
            <w:shd w:fill="E8FBFC" w:val="clear"/>
            <w:tcMar>
              <w:top w:type="dxa" w:w="100"/>
              <w:left w:type="dxa" w:w="140"/>
              <w:bottom w:type="dxa" w:w="100"/>
              <w:right w:type="dxa" w:w="140"/>
            </w:tcMar>
            <w:vAlign w:val="center"/>
          </w:tcPr>
          <w:p>
            <w:pPr>
              <w:jc w:val="left"/>
            </w:pPr>
            <w:r>
              <w:rPr>
                <w:b w:val="false"/>
                <w:bCs w:val="false"/>
                <w:color w:val="0A0E18"/>
                <w:sz w:val="20"/>
                <w:szCs w:val="20"/>
              </w:rPr>
              <w:t xml:space="preserve">✓</w:t>
            </w:r>
          </w:p>
        </w:tc>
        <w:tc>
          <w:tcPr>
            <w:tcW w:type="dxa" w:w="13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color w:val="0A0E18"/>
                <w:sz w:val="20"/>
                <w:szCs w:val="20"/>
              </w:rPr>
              <w:t xml:space="preserve">✗</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color w:val="0A0E18"/>
                <w:sz w:val="20"/>
                <w:szCs w:val="20"/>
              </w:rPr>
              <w:t xml:space="preserve">Surface</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color w:val="0A0E18"/>
                <w:sz w:val="20"/>
                <w:szCs w:val="20"/>
              </w:rPr>
              <w:t xml:space="preserve">Partiel</w:t>
            </w:r>
          </w:p>
        </w:tc>
        <w:tc>
          <w:tcPr>
            <w:tcW w:type="dxa" w:w="1326"/>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color w:val="0A0E18"/>
                <w:sz w:val="20"/>
                <w:szCs w:val="20"/>
              </w:rPr>
              <w:t xml:space="preserve">✓ via prof</w:t>
            </w:r>
          </w:p>
        </w:tc>
      </w:tr>
      <w:tr>
        <w:tc>
          <w:tcPr>
            <w:tcW w:type="dxa" w:w="2400"/>
            <w:tcBorders>
              <w:top w:val="single" w:color="CCCCCC" w:sz="4"/>
              <w:left w:val="single" w:color="CCCCCC" w:sz="4"/>
              <w:bottom w:val="single" w:color="CCCCCC" w:sz="4"/>
              <w:right w:val="single" w:color="CCCCCC" w:sz="4"/>
            </w:tcBorders>
            <w:shd w:fill="F7F8FB" w:val="clear"/>
            <w:tcMar>
              <w:top w:type="dxa" w:w="100"/>
              <w:left w:type="dxa" w:w="140"/>
              <w:bottom w:type="dxa" w:w="100"/>
              <w:right w:type="dxa" w:w="140"/>
            </w:tcMar>
            <w:vAlign w:val="center"/>
          </w:tcPr>
          <w:p>
            <w:pPr>
              <w:jc w:val="left"/>
            </w:pPr>
            <w:r>
              <w:rPr>
                <w:b/>
                <w:bCs/>
                <w:color w:val="0A0E18"/>
                <w:sz w:val="20"/>
                <w:szCs w:val="20"/>
              </w:rPr>
              <w:t xml:space="preserve">Voix synthétiques qualité</w:t>
            </w:r>
          </w:p>
        </w:tc>
        <w:tc>
          <w:tcPr>
            <w:tcW w:type="dxa" w:w="1500"/>
            <w:tcBorders>
              <w:top w:val="single" w:color="CCCCCC" w:sz="4"/>
              <w:left w:val="single" w:color="CCCCCC" w:sz="4"/>
              <w:bottom w:val="single" w:color="CCCCCC" w:sz="4"/>
              <w:right w:val="single" w:color="CCCCCC" w:sz="4"/>
            </w:tcBorders>
            <w:shd w:fill="E8FBFC" w:val="clear"/>
            <w:tcMar>
              <w:top w:type="dxa" w:w="100"/>
              <w:left w:type="dxa" w:w="140"/>
              <w:bottom w:type="dxa" w:w="100"/>
              <w:right w:type="dxa" w:w="140"/>
            </w:tcMar>
            <w:vAlign w:val="center"/>
          </w:tcPr>
          <w:p>
            <w:pPr>
              <w:jc w:val="left"/>
            </w:pPr>
            <w:r>
              <w:rPr>
                <w:b w:val="false"/>
                <w:bCs w:val="false"/>
                <w:color w:val="0A0E18"/>
                <w:sz w:val="20"/>
                <w:szCs w:val="20"/>
              </w:rPr>
              <w:t xml:space="preserve">TTS standard</w:t>
            </w:r>
          </w:p>
        </w:tc>
        <w:tc>
          <w:tcPr>
            <w:tcW w:type="dxa" w:w="1300"/>
            <w:tcBorders>
              <w:top w:val="single" w:color="CCCCCC" w:sz="4"/>
              <w:left w:val="single" w:color="CCCCCC" w:sz="4"/>
              <w:bottom w:val="single" w:color="CCCCCC" w:sz="4"/>
              <w:right w:val="single" w:color="CCCCCC" w:sz="4"/>
            </w:tcBorders>
            <w:shd w:fill="F7F8FB" w:val="clear"/>
            <w:tcMar>
              <w:top w:type="dxa" w:w="100"/>
              <w:left w:type="dxa" w:w="140"/>
              <w:bottom w:type="dxa" w:w="100"/>
              <w:right w:type="dxa" w:w="140"/>
            </w:tcMar>
            <w:vAlign w:val="center"/>
          </w:tcPr>
          <w:p>
            <w:pPr>
              <w:jc w:val="left"/>
            </w:pPr>
            <w:r>
              <w:rPr>
                <w:b w:val="false"/>
                <w:bCs w:val="false"/>
                <w:color w:val="0A0E18"/>
                <w:sz w:val="20"/>
                <w:szCs w:val="20"/>
              </w:rPr>
              <w:t xml:space="preserve">Bon</w:t>
            </w:r>
          </w:p>
        </w:tc>
        <w:tc>
          <w:tcPr>
            <w:tcW w:type="dxa" w:w="1200"/>
            <w:tcBorders>
              <w:top w:val="single" w:color="CCCCCC" w:sz="4"/>
              <w:left w:val="single" w:color="CCCCCC" w:sz="4"/>
              <w:bottom w:val="single" w:color="CCCCCC" w:sz="4"/>
              <w:right w:val="single" w:color="CCCCCC" w:sz="4"/>
            </w:tcBorders>
            <w:shd w:fill="F7F8FB" w:val="clear"/>
            <w:tcMar>
              <w:top w:type="dxa" w:w="100"/>
              <w:left w:type="dxa" w:w="140"/>
              <w:bottom w:type="dxa" w:w="100"/>
              <w:right w:type="dxa" w:w="140"/>
            </w:tcMar>
            <w:vAlign w:val="center"/>
          </w:tcPr>
          <w:p>
            <w:pPr>
              <w:jc w:val="left"/>
            </w:pPr>
            <w:r>
              <w:rPr>
                <w:b w:val="false"/>
                <w:bCs w:val="false"/>
                <w:color w:val="0A0E18"/>
                <w:sz w:val="20"/>
                <w:szCs w:val="20"/>
              </w:rPr>
              <w:t xml:space="preserve">Robotique</w:t>
            </w:r>
          </w:p>
        </w:tc>
        <w:tc>
          <w:tcPr>
            <w:tcW w:type="dxa" w:w="1200"/>
            <w:tcBorders>
              <w:top w:val="single" w:color="CCCCCC" w:sz="4"/>
              <w:left w:val="single" w:color="CCCCCC" w:sz="4"/>
              <w:bottom w:val="single" w:color="CCCCCC" w:sz="4"/>
              <w:right w:val="single" w:color="CCCCCC" w:sz="4"/>
            </w:tcBorders>
            <w:shd w:fill="F7F8FB" w:val="clear"/>
            <w:tcMar>
              <w:top w:type="dxa" w:w="100"/>
              <w:left w:type="dxa" w:w="140"/>
              <w:bottom w:type="dxa" w:w="100"/>
              <w:right w:type="dxa" w:w="140"/>
            </w:tcMar>
            <w:vAlign w:val="center"/>
          </w:tcPr>
          <w:p>
            <w:pPr>
              <w:jc w:val="left"/>
            </w:pPr>
            <w:r>
              <w:rPr>
                <w:b w:val="false"/>
                <w:bCs w:val="false"/>
                <w:color w:val="0A0E18"/>
                <w:sz w:val="20"/>
                <w:szCs w:val="20"/>
              </w:rPr>
              <w:t xml:space="preserve">Excellente (cloned)</w:t>
            </w:r>
          </w:p>
        </w:tc>
        <w:tc>
          <w:tcPr>
            <w:tcW w:type="dxa" w:w="1326"/>
            <w:tcBorders>
              <w:top w:val="single" w:color="CCCCCC" w:sz="4"/>
              <w:left w:val="single" w:color="CCCCCC" w:sz="4"/>
              <w:bottom w:val="single" w:color="CCCCCC" w:sz="4"/>
              <w:right w:val="single" w:color="CCCCCC" w:sz="4"/>
            </w:tcBorders>
            <w:shd w:fill="F7F8FB" w:val="clear"/>
            <w:tcMar>
              <w:top w:type="dxa" w:w="100"/>
              <w:left w:type="dxa" w:w="140"/>
              <w:bottom w:type="dxa" w:w="100"/>
              <w:right w:type="dxa" w:w="140"/>
            </w:tcMar>
            <w:vAlign w:val="center"/>
          </w:tcPr>
          <w:p>
            <w:pPr>
              <w:jc w:val="left"/>
            </w:pPr>
            <w:r>
              <w:rPr>
                <w:b w:val="false"/>
                <w:bCs w:val="false"/>
                <w:color w:val="0A0E18"/>
                <w:sz w:val="20"/>
                <w:szCs w:val="20"/>
              </w:rPr>
              <w:t xml:space="preserve">N/A (humain)</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bCs/>
                <w:color w:val="0A0E18"/>
                <w:sz w:val="20"/>
                <w:szCs w:val="20"/>
              </w:rPr>
              <w:t xml:space="preserve">Prix B2B/utilisateur/an</w:t>
            </w:r>
          </w:p>
        </w:tc>
        <w:tc>
          <w:tcPr>
            <w:tcW w:type="dxa" w:w="1500"/>
            <w:tcBorders>
              <w:top w:val="single" w:color="CCCCCC" w:sz="4"/>
              <w:left w:val="single" w:color="CCCCCC" w:sz="4"/>
              <w:bottom w:val="single" w:color="CCCCCC" w:sz="4"/>
              <w:right w:val="single" w:color="CCCCCC" w:sz="4"/>
            </w:tcBorders>
            <w:shd w:fill="E8FBFC" w:val="clear"/>
            <w:tcMar>
              <w:top w:type="dxa" w:w="100"/>
              <w:left w:type="dxa" w:w="140"/>
              <w:bottom w:type="dxa" w:w="100"/>
              <w:right w:type="dxa" w:w="140"/>
            </w:tcMar>
            <w:vAlign w:val="center"/>
          </w:tcPr>
          <w:p>
            <w:pPr>
              <w:jc w:val="left"/>
            </w:pPr>
            <w:r>
              <w:rPr>
                <w:b w:val="false"/>
                <w:bCs w:val="false"/>
                <w:color w:val="0A0E18"/>
                <w:sz w:val="20"/>
                <w:szCs w:val="20"/>
              </w:rPr>
              <w:t xml:space="preserve">À définir</w:t>
            </w:r>
          </w:p>
        </w:tc>
        <w:tc>
          <w:tcPr>
            <w:tcW w:type="dxa" w:w="13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color w:val="0A0E18"/>
                <w:sz w:val="20"/>
                <w:szCs w:val="20"/>
              </w:rPr>
              <w:t xml:space="preserve">~80-150 €</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color w:val="0A0E18"/>
                <w:sz w:val="20"/>
                <w:szCs w:val="20"/>
              </w:rPr>
              <w:t xml:space="preserve">B2C ~60 €</w:t>
            </w:r>
          </w:p>
        </w:tc>
        <w:tc>
          <w:tcPr>
            <w:tcW w:type="dxa" w:w="1200"/>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color w:val="0A0E18"/>
                <w:sz w:val="20"/>
                <w:szCs w:val="20"/>
              </w:rPr>
              <w:t xml:space="preserve">B2C ~120 €</w:t>
            </w:r>
          </w:p>
        </w:tc>
        <w:tc>
          <w:tcPr>
            <w:tcW w:type="dxa" w:w="1326"/>
            <w:tcBorders>
              <w:top w:val="single" w:color="CCCCCC" w:sz="4"/>
              <w:left w:val="single" w:color="CCCCCC" w:sz="4"/>
              <w:bottom w:val="single" w:color="CCCCCC" w:sz="4"/>
              <w:right w:val="single" w:color="CCCCCC" w:sz="4"/>
            </w:tcBorders>
            <w:tcMar>
              <w:top w:type="dxa" w:w="100"/>
              <w:left w:type="dxa" w:w="140"/>
              <w:bottom w:type="dxa" w:w="100"/>
              <w:right w:type="dxa" w:w="140"/>
            </w:tcMar>
            <w:vAlign w:val="center"/>
          </w:tcPr>
          <w:p>
            <w:pPr>
              <w:jc w:val="left"/>
            </w:pPr>
            <w:r>
              <w:rPr>
                <w:b w:val="false"/>
                <w:bCs w:val="false"/>
                <w:color w:val="0A0E18"/>
                <w:sz w:val="20"/>
                <w:szCs w:val="20"/>
              </w:rPr>
              <w:t xml:space="preserve">1500-3000 €</w:t>
            </w:r>
          </w:p>
        </w:tc>
      </w:tr>
      <w:tr>
        <w:tc>
          <w:tcPr>
            <w:tcW w:type="dxa" w:w="2400"/>
            <w:tcBorders>
              <w:top w:val="single" w:color="CCCCCC" w:sz="4"/>
              <w:left w:val="single" w:color="CCCCCC" w:sz="4"/>
              <w:bottom w:val="single" w:color="CCCCCC" w:sz="4"/>
              <w:right w:val="single" w:color="CCCCCC" w:sz="4"/>
            </w:tcBorders>
            <w:shd w:fill="F7F8FB" w:val="clear"/>
            <w:tcMar>
              <w:top w:type="dxa" w:w="100"/>
              <w:left w:type="dxa" w:w="140"/>
              <w:bottom w:type="dxa" w:w="100"/>
              <w:right w:type="dxa" w:w="140"/>
            </w:tcMar>
            <w:vAlign w:val="center"/>
          </w:tcPr>
          <w:p>
            <w:pPr>
              <w:jc w:val="left"/>
            </w:pPr>
            <w:r>
              <w:rPr>
                <w:b/>
                <w:bCs/>
                <w:color w:val="0A0E18"/>
                <w:sz w:val="20"/>
                <w:szCs w:val="20"/>
              </w:rPr>
              <w:t xml:space="preserve">Approche pédagogique</w:t>
            </w:r>
          </w:p>
        </w:tc>
        <w:tc>
          <w:tcPr>
            <w:tcW w:type="dxa" w:w="1500"/>
            <w:tcBorders>
              <w:top w:val="single" w:color="CCCCCC" w:sz="4"/>
              <w:left w:val="single" w:color="CCCCCC" w:sz="4"/>
              <w:bottom w:val="single" w:color="CCCCCC" w:sz="4"/>
              <w:right w:val="single" w:color="CCCCCC" w:sz="4"/>
            </w:tcBorders>
            <w:shd w:fill="E8FBFC" w:val="clear"/>
            <w:tcMar>
              <w:top w:type="dxa" w:w="100"/>
              <w:left w:type="dxa" w:w="140"/>
              <w:bottom w:type="dxa" w:w="100"/>
              <w:right w:type="dxa" w:w="140"/>
            </w:tcMar>
            <w:vAlign w:val="center"/>
          </w:tcPr>
          <w:p>
            <w:pPr>
              <w:jc w:val="left"/>
            </w:pPr>
            <w:r>
              <w:rPr>
                <w:b w:val="false"/>
                <w:bCs w:val="false"/>
                <w:color w:val="0A0E18"/>
                <w:sz w:val="20"/>
                <w:szCs w:val="20"/>
              </w:rPr>
              <w:t xml:space="preserve">Immersive scénarisée</w:t>
            </w:r>
          </w:p>
        </w:tc>
        <w:tc>
          <w:tcPr>
            <w:tcW w:type="dxa" w:w="1300"/>
            <w:tcBorders>
              <w:top w:val="single" w:color="CCCCCC" w:sz="4"/>
              <w:left w:val="single" w:color="CCCCCC" w:sz="4"/>
              <w:bottom w:val="single" w:color="CCCCCC" w:sz="4"/>
              <w:right w:val="single" w:color="CCCCCC" w:sz="4"/>
            </w:tcBorders>
            <w:shd w:fill="F7F8FB" w:val="clear"/>
            <w:tcMar>
              <w:top w:type="dxa" w:w="100"/>
              <w:left w:type="dxa" w:w="140"/>
              <w:bottom w:type="dxa" w:w="100"/>
              <w:right w:type="dxa" w:w="140"/>
            </w:tcMar>
            <w:vAlign w:val="center"/>
          </w:tcPr>
          <w:p>
            <w:pPr>
              <w:jc w:val="left"/>
            </w:pPr>
            <w:r>
              <w:rPr>
                <w:b w:val="false"/>
                <w:bCs w:val="false"/>
                <w:color w:val="0A0E18"/>
                <w:sz w:val="20"/>
                <w:szCs w:val="20"/>
              </w:rPr>
              <w:t xml:space="preserve">Drill structuré</w:t>
            </w:r>
          </w:p>
        </w:tc>
        <w:tc>
          <w:tcPr>
            <w:tcW w:type="dxa" w:w="1200"/>
            <w:tcBorders>
              <w:top w:val="single" w:color="CCCCCC" w:sz="4"/>
              <w:left w:val="single" w:color="CCCCCC" w:sz="4"/>
              <w:bottom w:val="single" w:color="CCCCCC" w:sz="4"/>
              <w:right w:val="single" w:color="CCCCCC" w:sz="4"/>
            </w:tcBorders>
            <w:shd w:fill="F7F8FB" w:val="clear"/>
            <w:tcMar>
              <w:top w:type="dxa" w:w="100"/>
              <w:left w:type="dxa" w:w="140"/>
              <w:bottom w:type="dxa" w:w="100"/>
              <w:right w:type="dxa" w:w="140"/>
            </w:tcMar>
            <w:vAlign w:val="center"/>
          </w:tcPr>
          <w:p>
            <w:pPr>
              <w:jc w:val="left"/>
            </w:pPr>
            <w:r>
              <w:rPr>
                <w:b w:val="false"/>
                <w:bCs w:val="false"/>
                <w:color w:val="0A0E18"/>
                <w:sz w:val="20"/>
                <w:szCs w:val="20"/>
              </w:rPr>
              <w:t xml:space="preserve">Free chat</w:t>
            </w:r>
          </w:p>
        </w:tc>
        <w:tc>
          <w:tcPr>
            <w:tcW w:type="dxa" w:w="1200"/>
            <w:tcBorders>
              <w:top w:val="single" w:color="CCCCCC" w:sz="4"/>
              <w:left w:val="single" w:color="CCCCCC" w:sz="4"/>
              <w:bottom w:val="single" w:color="CCCCCC" w:sz="4"/>
              <w:right w:val="single" w:color="CCCCCC" w:sz="4"/>
            </w:tcBorders>
            <w:shd w:fill="F7F8FB" w:val="clear"/>
            <w:tcMar>
              <w:top w:type="dxa" w:w="100"/>
              <w:left w:type="dxa" w:w="140"/>
              <w:bottom w:type="dxa" w:w="100"/>
              <w:right w:type="dxa" w:w="140"/>
            </w:tcMar>
            <w:vAlign w:val="center"/>
          </w:tcPr>
          <w:p>
            <w:pPr>
              <w:jc w:val="left"/>
            </w:pPr>
            <w:r>
              <w:rPr>
                <w:b w:val="false"/>
                <w:bCs w:val="false"/>
                <w:color w:val="0A0E18"/>
                <w:sz w:val="20"/>
                <w:szCs w:val="20"/>
              </w:rPr>
              <w:t xml:space="preserve">Free chat premium</w:t>
            </w:r>
          </w:p>
        </w:tc>
        <w:tc>
          <w:tcPr>
            <w:tcW w:type="dxa" w:w="1326"/>
            <w:tcBorders>
              <w:top w:val="single" w:color="CCCCCC" w:sz="4"/>
              <w:left w:val="single" w:color="CCCCCC" w:sz="4"/>
              <w:bottom w:val="single" w:color="CCCCCC" w:sz="4"/>
              <w:right w:val="single" w:color="CCCCCC" w:sz="4"/>
            </w:tcBorders>
            <w:shd w:fill="F7F8FB" w:val="clear"/>
            <w:tcMar>
              <w:top w:type="dxa" w:w="100"/>
              <w:left w:type="dxa" w:w="140"/>
              <w:bottom w:type="dxa" w:w="100"/>
              <w:right w:type="dxa" w:w="140"/>
            </w:tcMar>
            <w:vAlign w:val="center"/>
          </w:tcPr>
          <w:p>
            <w:pPr>
              <w:jc w:val="left"/>
            </w:pPr>
            <w:r>
              <w:rPr>
                <w:b w:val="false"/>
                <w:bCs w:val="false"/>
                <w:color w:val="0A0E18"/>
                <w:sz w:val="20"/>
                <w:szCs w:val="20"/>
              </w:rPr>
              <w:t xml:space="preserve">Cours visio</w:t>
            </w:r>
          </w:p>
        </w:tc>
      </w:tr>
    </w:tbl>
    <w:p>
      <w:pPr>
        <w:spacing w:after="200" w:before="200"/>
      </w:pPr>
      <w:r>
        <w:rPr>
          <w:i/>
          <w:iCs/>
          <w:color w:val="586378"/>
          <w:sz w:val="18"/>
          <w:szCs w:val="18"/>
        </w:rPr>
        <w:t xml:space="preserve">Lecture : Questia présente un profil unique combinant simulation scénarisée B2B, mode groupe, et certification Qualiopi en cours. Aucun concurrent n'aligne ces 3 critères simultanément en avril 2026.</w:t>
      </w:r>
    </w:p>
    <w:p>
      <w:r>
        <w:br w:type="page"/>
      </w:r>
    </w:p>
    <w:p>
      <w:pPr>
        <w:pStyle w:val="Heading1"/>
        <w:pBdr>
          <w:bottom w:val="single" w:color="00A8C8" w:sz="12" w:space="4"/>
        </w:pBdr>
        <w:spacing w:after="200" w:before="360"/>
      </w:pPr>
      <w:r>
        <w:rPr>
          <w:b/>
          <w:bCs/>
          <w:color w:val="0A0E18"/>
        </w:rPr>
        <w:t xml:space="preserve">6. Positionnement de Questia : la zone vide identifiée</w:t>
      </w:r>
    </w:p>
    <w:p>
      <w:pPr>
        <w:pStyle w:val="Heading2"/>
        <w:spacing w:after="140" w:before="280"/>
      </w:pPr>
      <w:r>
        <w:rPr>
          <w:b/>
          <w:bCs/>
          <w:color w:val="00A8C8"/>
        </w:rPr>
        <w:t xml:space="preserve">Cartographie X/Y du marché</w:t>
      </w:r>
    </w:p>
    <w:p>
      <w:pPr>
        <w:spacing w:after="120"/>
        <w:jc w:val="left"/>
      </w:pPr>
      <w:r>
        <w:t xml:space="preserve">Si on positionne le marché sur deux axes :</w:t>
      </w:r>
    </w:p>
    <w:p>
      <w:pPr>
        <w:pStyle w:val="ListParagraph"/>
        <w:numPr>
          <w:ilvl w:val="0"/>
          <w:numId w:val="2"/>
        </w:numPr>
        <w:spacing w:after="80"/>
      </w:pPr>
      <w:r>
        <w:t xml:space="preserve">Axe X : approche pédagogique → de "drill mécanique" (Babbel, Memrise) à "immersion scénarisée pro" (Questia)</w:t>
      </w:r>
    </w:p>
    <w:p>
      <w:pPr>
        <w:pStyle w:val="ListParagraph"/>
        <w:numPr>
          <w:ilvl w:val="0"/>
          <w:numId w:val="2"/>
        </w:numPr>
        <w:spacing w:after="80"/>
      </w:pPr>
      <w:r>
        <w:t xml:space="preserve">Axe Y : niveau d'IA conversationnelle → de "aucune" (Lingoda, OF classiques) à "100% IA" (Talkpal, Langua, Speak)</w:t>
      </w:r>
    </w:p>
    <w:p>
      <w:pPr>
        <w:spacing w:after="120"/>
        <w:jc w:val="left"/>
      </w:pPr>
      <w:r>
        <w:t xml:space="preserve">Trois quadrants sont occupés :</w:t>
      </w:r>
    </w:p>
    <w:p>
      <w:pPr>
        <w:pStyle w:val="ListParagraph"/>
        <w:numPr>
          <w:ilvl w:val="0"/>
          <w:numId w:val="2"/>
        </w:numPr>
        <w:spacing w:after="80"/>
      </w:pPr>
      <w:r>
        <w:t xml:space="preserve">Drill + Pas d'IA : Babbel, Memrise, Rosetta — surchargé</w:t>
      </w:r>
    </w:p>
    <w:p>
      <w:pPr>
        <w:pStyle w:val="ListParagraph"/>
        <w:numPr>
          <w:ilvl w:val="0"/>
          <w:numId w:val="2"/>
        </w:numPr>
        <w:spacing w:after="80"/>
      </w:pPr>
      <w:r>
        <w:t xml:space="preserve">Drill + IA : Babbel 2026, Mondly avec ChatGPT add-ons — émergent</w:t>
      </w:r>
    </w:p>
    <w:p>
      <w:pPr>
        <w:pStyle w:val="ListParagraph"/>
        <w:numPr>
          <w:ilvl w:val="0"/>
          <w:numId w:val="2"/>
        </w:numPr>
        <w:spacing w:after="80"/>
      </w:pPr>
      <w:r>
        <w:t xml:space="preserve">Pédagogie traditionnelle + Pas d'IA : Lingoda, Cambly, OF Qualiopi — saturé</w:t>
      </w:r>
    </w:p>
    <w:p>
      <w:pPr>
        <w:pStyle w:val="Heading2"/>
        <w:spacing w:after="140" w:before="280"/>
      </w:pPr>
      <w:r>
        <w:rPr>
          <w:b/>
          <w:bCs/>
          <w:color w:val="00A8C8"/>
        </w:rPr>
        <w:t xml:space="preserve">La zone vide : Immersion scénarisée pro + IA conversationnelle</w:t>
      </w:r>
    </w:p>
    <w:p>
      <w:pPr>
        <w:spacing w:after="120"/>
        <w:jc w:val="left"/>
      </w:pPr>
      <w:r>
        <w:t xml:space="preserve">C'est la zone qu'occupe Questia, et qui est aujourd'hui sous-investie. Aucun concurrent identifié ne combine simultanément :</w:t>
      </w:r>
    </w:p>
    <w:p>
      <w:pPr>
        <w:pStyle w:val="ListParagraph"/>
        <w:numPr>
          <w:ilvl w:val="0"/>
          <w:numId w:val="2"/>
        </w:numPr>
        <w:spacing w:after="80"/>
      </w:pPr>
      <w:r>
        <w:t xml:space="preserve">Des scénarios B2B contextualisés par ville et par fonction (procurement Berlin, kickoff client Madrid, crisis Londres, keigo Tokyo)</w:t>
      </w:r>
    </w:p>
    <w:p>
      <w:pPr>
        <w:pStyle w:val="ListParagraph"/>
        <w:numPr>
          <w:ilvl w:val="0"/>
          <w:numId w:val="2"/>
        </w:numPr>
        <w:spacing w:after="80"/>
      </w:pPr>
      <w:r>
        <w:t xml:space="preserve">Une IA conversationnelle scénarisée avec coaching pédagogique</w:t>
      </w:r>
    </w:p>
    <w:p>
      <w:pPr>
        <w:pStyle w:val="ListParagraph"/>
        <w:numPr>
          <w:ilvl w:val="0"/>
          <w:numId w:val="2"/>
        </w:numPr>
        <w:spacing w:after="80"/>
      </w:pPr>
      <w:r>
        <w:t xml:space="preserve">Une visée Qualiopi avec rapport CECRL trimestriel</w:t>
      </w:r>
    </w:p>
    <w:p>
      <w:pPr>
        <w:pStyle w:val="ListParagraph"/>
        <w:numPr>
          <w:ilvl w:val="0"/>
          <w:numId w:val="2"/>
        </w:numPr>
        <w:spacing w:after="80"/>
      </w:pPr>
      <w:r>
        <w:t xml:space="preserve">Un dashboard formateur permettant le suivi cohorte</w:t>
      </w:r>
    </w:p>
    <w:p>
      <w:pPr>
        <w:pStyle w:val="ListParagraph"/>
        <w:numPr>
          <w:ilvl w:val="0"/>
          <w:numId w:val="2"/>
        </w:numPr>
        <w:spacing w:after="80"/>
      </w:pPr>
      <w:r>
        <w:t xml:space="preserve">Un mode groupe avec IA pédagogiques pairs (Coach Maya + 3 apprenants 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A8C8" w:sz="8"/>
              <w:left w:val="single" w:color="00A8C8" w:sz="8"/>
              <w:bottom w:val="single" w:color="00A8C8" w:sz="8"/>
              <w:right w:val="single" w:color="00A8C8" w:sz="8"/>
            </w:tcBorders>
            <w:shd w:fill="E8FBFC" w:val="clear"/>
            <w:tcMar>
              <w:top w:type="dxa" w:w="200"/>
              <w:left w:type="dxa" w:w="240"/>
              <w:bottom w:type="dxa" w:w="200"/>
              <w:right w:type="dxa" w:w="240"/>
            </w:tcMar>
          </w:tcPr>
          <w:p>
            <w:pPr>
              <w:spacing w:after="100"/>
            </w:pPr>
            <w:r>
              <w:rPr>
                <w:b/>
                <w:bCs/>
                <w:color w:val="0A0E18"/>
                <w:sz w:val="22"/>
                <w:szCs w:val="22"/>
              </w:rPr>
              <w:t xml:space="preserve">💎 Proposition de valeur unique de Questia</w:t>
            </w:r>
          </w:p>
          <w:p>
            <w:pPr>
              <w:spacing w:after="80"/>
            </w:pPr>
            <w:r>
              <w:rPr>
                <w:sz w:val="20"/>
                <w:szCs w:val="20"/>
              </w:rPr>
              <w:t xml:space="preserve">« Le seul simulateur IA qui transforme les budgets formation langue en compétences professionnelles mesurables sur 11 contextes B2B mondiaux, en 4 langues, avec rapport CECRL et conformité Qualiopi. »</w:t>
            </w:r>
          </w:p>
          <w:p>
            <w:pPr>
              <w:spacing w:after="80"/>
            </w:pPr>
            <w:r>
              <w:rPr>
                <w:sz w:val="20"/>
                <w:szCs w:val="20"/>
              </w:rPr>
              <w:t xml:space="preserve">Cette proposition tient sur 3 piliers défendables : (1) la profondeur des scénarios pédagogiques, (2) l'alignement CECRL/Qualiopi, (3) le ciblage B2B éducation/formation pro plutôt que B2C grand public.</w:t>
            </w:r>
          </w:p>
        </w:tc>
      </w:tr>
    </w:tbl>
    <w:p>
      <w:pPr>
        <w:pStyle w:val="Heading2"/>
        <w:spacing w:after="140" w:before="280"/>
      </w:pPr>
      <w:r>
        <w:rPr>
          <w:b/>
          <w:bCs/>
          <w:color w:val="00A8C8"/>
        </w:rPr>
        <w:t xml:space="preserve">Les 3 personas B2B alignés au positionnement</w:t>
      </w:r>
    </w:p>
    <w:p>
      <w:pPr>
        <w:pStyle w:val="ListParagraph"/>
        <w:numPr>
          <w:ilvl w:val="0"/>
          <w:numId w:val="2"/>
        </w:numPr>
        <w:spacing w:after="80"/>
      </w:pPr>
      <w:r>
        <w:t xml:space="preserve">École supérieure privée : Lumera Business School type, recherche outil pour étudiants en Master / MBA / Programme Grande École</w:t>
      </w:r>
    </w:p>
    <w:p>
      <w:pPr>
        <w:pStyle w:val="ListParagraph"/>
        <w:numPr>
          <w:ilvl w:val="0"/>
          <w:numId w:val="2"/>
        </w:numPr>
        <w:spacing w:after="80"/>
      </w:pPr>
      <w:r>
        <w:t xml:space="preserve">OF Qualiopi adultes : Atria Formations type, veut différencier son catalogue OPCO/CPF avec une offre simulation premium</w:t>
      </w:r>
    </w:p>
    <w:p>
      <w:pPr>
        <w:pStyle w:val="ListParagraph"/>
        <w:numPr>
          <w:ilvl w:val="0"/>
          <w:numId w:val="2"/>
        </w:numPr>
        <w:spacing w:after="80"/>
      </w:pPr>
      <w:r>
        <w:t xml:space="preserve">Formateur indépendant Qualiopi : Coulaind Conseil type, veut un outil prêt à l'emploi pour ses séances en visio ou présentiel</w:t>
      </w:r>
    </w:p>
    <w:p>
      <w:r>
        <w:br w:type="page"/>
      </w:r>
    </w:p>
    <w:p>
      <w:pPr>
        <w:pStyle w:val="Heading1"/>
        <w:pBdr>
          <w:bottom w:val="single" w:color="00A8C8" w:sz="12" w:space="4"/>
        </w:pBdr>
        <w:spacing w:after="200" w:before="360"/>
      </w:pPr>
      <w:r>
        <w:rPr>
          <w:b/>
          <w:bCs/>
          <w:color w:val="0A0E18"/>
        </w:rPr>
        <w:t xml:space="preserve">7. Risques concurrentiels et angles morts</w:t>
      </w:r>
    </w:p>
    <w:p>
      <w:pPr>
        <w:pStyle w:val="Heading2"/>
        <w:spacing w:after="140" w:before="280"/>
      </w:pPr>
      <w:r>
        <w:rPr>
          <w:b/>
          <w:bCs/>
          <w:color w:val="00A8C8"/>
        </w:rPr>
        <w:t xml:space="preserve">Risque 1 — Babbel ou Rosetta lance une fonctionnalité simulation IA en 2026</w:t>
      </w:r>
    </w:p>
    <w:p>
      <w:pPr>
        <w:spacing w:after="120"/>
        <w:jc w:val="left"/>
      </w:pPr>
      <w:r>
        <w:t xml:space="preserve">Probabilité : ÉLEVÉE (60-70%). Babbel a publiquement annoncé en 2026 l'intégration de "AI-powered dialogues and personalized learning paths" (PricingNow, décembre 2025).</w:t>
      </w:r>
    </w:p>
    <w:p>
      <w:pPr>
        <w:spacing w:after="120"/>
        <w:jc w:val="left"/>
      </w:pPr>
      <w:r>
        <w:t xml:space="preserve">Impact : MAJEUR. Si Babbel sort une simulation B2B même médiocre, ils captent les contrats par défaut grâce à leur notoriété.</w:t>
      </w:r>
    </w:p>
    <w:p>
      <w:pPr>
        <w:spacing w:after="120"/>
        <w:jc w:val="left"/>
      </w:pPr>
      <w:r>
        <w:t xml:space="preserve">Stratégie de défense :</w:t>
      </w:r>
    </w:p>
    <w:p>
      <w:pPr>
        <w:pStyle w:val="ListParagraph"/>
        <w:numPr>
          <w:ilvl w:val="0"/>
          <w:numId w:val="2"/>
        </w:numPr>
        <w:spacing w:after="80"/>
      </w:pPr>
      <w:r>
        <w:t xml:space="preserve">Doubler sur la profondeur scénaristique (Tokyo + keigo, Lagos + fintech, Cape Town + climate-tech) que Babbel ne peut pas répliquer rapidement</w:t>
      </w:r>
    </w:p>
    <w:p>
      <w:pPr>
        <w:pStyle w:val="ListParagraph"/>
        <w:numPr>
          <w:ilvl w:val="0"/>
          <w:numId w:val="2"/>
        </w:numPr>
        <w:spacing w:after="80"/>
      </w:pPr>
      <w:r>
        <w:t xml:space="preserve">Obtenir Qualiopi rapidement (Q3 2026 confirmé) — Babbel ne pourra pas car société allemande</w:t>
      </w:r>
    </w:p>
    <w:p>
      <w:pPr>
        <w:pStyle w:val="ListParagraph"/>
        <w:numPr>
          <w:ilvl w:val="0"/>
          <w:numId w:val="2"/>
        </w:numPr>
        <w:spacing w:after="80"/>
      </w:pPr>
      <w:r>
        <w:t xml:space="preserve">Signer 5-10 références pilotes solides AVANT que Babbel arrive sur le terrain</w:t>
      </w:r>
    </w:p>
    <w:p>
      <w:pPr>
        <w:pStyle w:val="Heading2"/>
        <w:spacing w:after="140" w:before="280"/>
      </w:pPr>
      <w:r>
        <w:rPr>
          <w:b/>
          <w:bCs/>
          <w:color w:val="00A8C8"/>
        </w:rPr>
        <w:t xml:space="preserve">Risque 2 — Talkpal ou Langua pivot en B2B</w:t>
      </w:r>
    </w:p>
    <w:p>
      <w:pPr>
        <w:spacing w:after="120"/>
        <w:jc w:val="left"/>
      </w:pPr>
      <w:r>
        <w:t xml:space="preserve">Probabilité : MOYENNE (30-40%). Ces acteurs ont la techno mais ne semblent pas avoir le focus B2B aujourd'hui.</w:t>
      </w:r>
    </w:p>
    <w:p>
      <w:pPr>
        <w:spacing w:after="120"/>
        <w:jc w:val="left"/>
      </w:pPr>
      <w:r>
        <w:t xml:space="preserve">Impact : MODÉRÉ. Ils auraient à reconstruire toute la couche pédagogique scénarisée.</w:t>
      </w:r>
    </w:p>
    <w:p>
      <w:pPr>
        <w:spacing w:after="120"/>
        <w:jc w:val="left"/>
      </w:pPr>
      <w:r>
        <w:t xml:space="preserve">Stratégie de défense :</w:t>
      </w:r>
    </w:p>
    <w:p>
      <w:pPr>
        <w:pStyle w:val="ListParagraph"/>
        <w:numPr>
          <w:ilvl w:val="0"/>
          <w:numId w:val="2"/>
        </w:numPr>
        <w:spacing w:after="80"/>
      </w:pPr>
      <w:r>
        <w:t xml:space="preserve">Construire une bibliothèque de 50+ scénarios pro spécifiques à 18 mois</w:t>
      </w:r>
    </w:p>
    <w:p>
      <w:pPr>
        <w:pStyle w:val="ListParagraph"/>
        <w:numPr>
          <w:ilvl w:val="0"/>
          <w:numId w:val="2"/>
        </w:numPr>
        <w:spacing w:after="80"/>
      </w:pPr>
      <w:r>
        <w:t xml:space="preserve">Verrouiller les 3 personas B2B avec des onboarding spécifiques (déjà en place dans la landing)</w:t>
      </w:r>
    </w:p>
    <w:p>
      <w:pPr>
        <w:pStyle w:val="Heading2"/>
        <w:spacing w:after="140" w:before="280"/>
      </w:pPr>
      <w:r>
        <w:rPr>
          <w:b/>
          <w:bCs/>
          <w:color w:val="00A8C8"/>
        </w:rPr>
        <w:t xml:space="preserve">Risque 3 — Un OF Qualiopi achète une licence OpenAI et se construit son outil</w:t>
      </w:r>
    </w:p>
    <w:p>
      <w:pPr>
        <w:spacing w:after="120"/>
        <w:jc w:val="left"/>
      </w:pPr>
      <w:r>
        <w:t xml:space="preserve">Probabilité : FAIBLE (10-15%). Centre Inffo 2025 : seulement 12% des OF ont formalisé leur usage IA. La plupart manquent de capacité tech interne.</w:t>
      </w:r>
    </w:p>
    <w:p>
      <w:pPr>
        <w:spacing w:after="120"/>
        <w:jc w:val="left"/>
      </w:pPr>
      <w:r>
        <w:t xml:space="preserve">Impact : LIMITÉ. Construire 11 villes scénarisées en 4 langues prend 6-12 mois minimum à un OF non-tech.</w:t>
      </w:r>
    </w:p>
    <w:p>
      <w:pPr>
        <w:spacing w:after="120"/>
        <w:jc w:val="left"/>
      </w:pPr>
      <w:r>
        <w:t xml:space="preserve">Stratégie de défense :</w:t>
      </w:r>
    </w:p>
    <w:p>
      <w:pPr>
        <w:pStyle w:val="ListParagraph"/>
        <w:numPr>
          <w:ilvl w:val="0"/>
          <w:numId w:val="2"/>
        </w:numPr>
        <w:spacing w:after="80"/>
      </w:pPr>
      <w:r>
        <w:t xml:space="preserve">Proposer un modèle de partenariat aux OF Qualiopi : ils restent face client, Questia est sous-traitant tech (white-label possible)</w:t>
      </w:r>
    </w:p>
    <w:p>
      <w:pPr>
        <w:pStyle w:val="Heading2"/>
        <w:spacing w:after="140" w:before="280"/>
      </w:pPr>
      <w:r>
        <w:rPr>
          <w:b/>
          <w:bCs/>
          <w:color w:val="00A8C8"/>
        </w:rPr>
        <w:t xml:space="preserve">Risque 4 — La méfiance des enseignants ralentit l'adoption</w:t>
      </w:r>
    </w:p>
    <w:p>
      <w:pPr>
        <w:spacing w:after="120"/>
        <w:jc w:val="left"/>
      </w:pPr>
      <w:r>
        <w:t xml:space="preserve">Probabilité : ÉLEVÉE (70%). Slate.fr janvier 2026 : 56% des enseignants français souhaitent être formés à l'IA mais 70% disent ne pas l'avoir été. Étude GoStudent 2025 : seulement 50% des enseignants français pensent que l'IA jouera un rôle central, contre 70% au Royaume-Uni et en Espagne.</w:t>
      </w:r>
    </w:p>
    <w:p>
      <w:pPr>
        <w:spacing w:after="120"/>
        <w:jc w:val="left"/>
      </w:pPr>
      <w:r>
        <w:t xml:space="preserve">Impact : MAJEUR sur la vitesse de pénétration.</w:t>
      </w:r>
    </w:p>
    <w:p>
      <w:pPr>
        <w:spacing w:after="120"/>
        <w:jc w:val="left"/>
      </w:pPr>
      <w:r>
        <w:t xml:space="preserve">Stratégie de défense :</w:t>
      </w:r>
    </w:p>
    <w:p>
      <w:pPr>
        <w:pStyle w:val="ListParagraph"/>
        <w:numPr>
          <w:ilvl w:val="0"/>
          <w:numId w:val="2"/>
        </w:numPr>
        <w:spacing w:after="80"/>
      </w:pPr>
      <w:r>
        <w:t xml:space="preserve">Positionner Questia comme outil POUR le formateur, pas contre lui</w:t>
      </w:r>
    </w:p>
    <w:p>
      <w:pPr>
        <w:pStyle w:val="ListParagraph"/>
        <w:numPr>
          <w:ilvl w:val="0"/>
          <w:numId w:val="2"/>
        </w:numPr>
        <w:spacing w:after="80"/>
      </w:pPr>
      <w:r>
        <w:t xml:space="preserve">Le formateur reste maître de la séance, contrôle les missions assignées, voit les rapports</w:t>
      </w:r>
    </w:p>
    <w:p>
      <w:pPr>
        <w:pStyle w:val="ListParagraph"/>
        <w:numPr>
          <w:ilvl w:val="0"/>
          <w:numId w:val="2"/>
        </w:numPr>
        <w:spacing w:after="80"/>
      </w:pPr>
      <w:r>
        <w:t xml:space="preserve">Co-construire avec 3-5 formateurs early adopters qui deviennent ambassadeurs</w:t>
      </w:r>
    </w:p>
    <w:p>
      <w:pPr>
        <w:pStyle w:val="ListParagraph"/>
        <w:numPr>
          <w:ilvl w:val="0"/>
          <w:numId w:val="2"/>
        </w:numPr>
        <w:spacing w:after="80"/>
      </w:pPr>
      <w:r>
        <w:t xml:space="preserve">Créer du contenu pédagogique d'aide aux formateurs (webinaires, guides)</w:t>
      </w:r>
    </w:p>
    <w:p>
      <w:pPr>
        <w:pStyle w:val="Heading2"/>
        <w:spacing w:after="140" w:before="280"/>
      </w:pPr>
      <w:r>
        <w:rPr>
          <w:b/>
          <w:bCs/>
          <w:color w:val="00A8C8"/>
        </w:rPr>
        <w:t xml:space="preserve">Risque 5 — Le marché des langues B2B se commoditise par le bas</w:t>
      </w:r>
    </w:p>
    <w:p>
      <w:pPr>
        <w:spacing w:after="120"/>
        <w:jc w:val="left"/>
      </w:pPr>
      <w:r>
        <w:t xml:space="preserve">Probabilité : MOYENNE (40%). Talkpal à 4,99 €/mois met une pression structurelle sur les prix.</w:t>
      </w:r>
    </w:p>
    <w:p>
      <w:pPr>
        <w:spacing w:after="120"/>
        <w:jc w:val="left"/>
      </w:pPr>
      <w:r>
        <w:t xml:space="preserve">Impact : MODÉRÉ. Questia ne joue pas sur le même segment (B2B avec rapport, pas B2C).</w:t>
      </w:r>
    </w:p>
    <w:p>
      <w:pPr>
        <w:spacing w:after="120"/>
        <w:jc w:val="left"/>
      </w:pPr>
      <w:r>
        <w:t xml:space="preserve">Stratégie de défense :</w:t>
      </w:r>
    </w:p>
    <w:p>
      <w:pPr>
        <w:pStyle w:val="ListParagraph"/>
        <w:numPr>
          <w:ilvl w:val="0"/>
          <w:numId w:val="2"/>
        </w:numPr>
        <w:spacing w:after="80"/>
      </w:pPr>
      <w:r>
        <w:t xml:space="preserve">Ne jamais se laisser comparer à Talkpal sur le prix</w:t>
      </w:r>
    </w:p>
    <w:p>
      <w:pPr>
        <w:pStyle w:val="ListParagraph"/>
        <w:numPr>
          <w:ilvl w:val="0"/>
          <w:numId w:val="2"/>
        </w:numPr>
        <w:spacing w:after="80"/>
      </w:pPr>
      <w:r>
        <w:t xml:space="preserve">Toujours comparer le coût à un séjour linguistique (3 000 €) ou à un prof particulier (5 000 €/an)</w:t>
      </w:r>
    </w:p>
    <w:p>
      <w:r>
        <w:br w:type="page"/>
      </w:r>
    </w:p>
    <w:p>
      <w:pPr>
        <w:pStyle w:val="Heading1"/>
        <w:pBdr>
          <w:bottom w:val="single" w:color="00A8C8" w:sz="12" w:space="4"/>
        </w:pBdr>
        <w:spacing w:after="200" w:before="360"/>
      </w:pPr>
      <w:r>
        <w:rPr>
          <w:b/>
          <w:bCs/>
          <w:color w:val="0A0E18"/>
        </w:rPr>
        <w:t xml:space="preserve">8. Recommandations stratégiques</w:t>
      </w:r>
    </w:p>
    <w:p>
      <w:pPr>
        <w:pStyle w:val="Heading2"/>
        <w:spacing w:after="140" w:before="280"/>
      </w:pPr>
      <w:r>
        <w:rPr>
          <w:b/>
          <w:bCs/>
          <w:color w:val="00A8C8"/>
        </w:rPr>
        <w:t xml:space="preserve">Recommandation 1 — Doubler sur la scénarisation B2B</w:t>
      </w:r>
    </w:p>
    <w:p>
      <w:pPr>
        <w:spacing w:after="120"/>
        <w:jc w:val="left"/>
      </w:pPr>
      <w:r>
        <w:t xml:space="preserve">La défense face à Babbel et aux IA conversationnelles n'est pas la qualité de la voix ou la couverture de langues, c'est la PROFONDEUR des scénarios pédagogiques B2B. Tokyo + keigo est un exemple : aucune app grand public n'ira là.</w:t>
      </w:r>
    </w:p>
    <w:p>
      <w:pPr>
        <w:spacing w:after="120"/>
        <w:jc w:val="left"/>
      </w:pPr>
      <w:r>
        <w:t xml:space="preserve">Action concrète : créer une roadmap de 30 missions pro spécifiques à 18 mois, avec input de directeurs pédagogiques d'écoles supérieures.</w:t>
      </w:r>
    </w:p>
    <w:p>
      <w:pPr>
        <w:pStyle w:val="Heading2"/>
        <w:spacing w:after="140" w:before="280"/>
      </w:pPr>
      <w:r>
        <w:rPr>
          <w:b/>
          <w:bCs/>
          <w:color w:val="00A8C8"/>
        </w:rPr>
        <w:t xml:space="preserve">Recommandation 2 — Obtenir Qualiopi le plus vite possible</w:t>
      </w:r>
    </w:p>
    <w:p>
      <w:pPr>
        <w:spacing w:after="120"/>
        <w:jc w:val="left"/>
      </w:pPr>
      <w:r>
        <w:t xml:space="preserve">C'est la barrière à l'entrée la plus défensive : sans Qualiopi, pas d'OPCO. Babbel et Talkpal ne pourront pas l'obtenir rapidement (sociétés étrangères, processus français).</w:t>
      </w:r>
    </w:p>
    <w:p>
      <w:pPr>
        <w:spacing w:after="120"/>
        <w:jc w:val="left"/>
      </w:pPr>
      <w:r>
        <w:t xml:space="preserve">Action concrète : démarrer le dossier Qualiopi en parallèle de la phase pilote, viser certification Q3 2026.</w:t>
      </w:r>
    </w:p>
    <w:p>
      <w:pPr>
        <w:pStyle w:val="Heading2"/>
        <w:spacing w:after="140" w:before="280"/>
      </w:pPr>
      <w:r>
        <w:rPr>
          <w:b/>
          <w:bCs/>
          <w:color w:val="00A8C8"/>
        </w:rPr>
        <w:t xml:space="preserve">Recommandation 3 — Signer 5-10 pilotes gratuits avant la concurrence</w:t>
      </w:r>
    </w:p>
    <w:p>
      <w:pPr>
        <w:spacing w:after="120"/>
        <w:jc w:val="left"/>
      </w:pPr>
      <w:r>
        <w:t xml:space="preserve">Le programme partenaires fondateurs annoncé sur la landing est la bonne stratégie. Ces 5-10 cas concrets vaudront 10× plus cher que des features supplémentaires en 2026.</w:t>
      </w:r>
    </w:p>
    <w:p>
      <w:pPr>
        <w:spacing w:after="120"/>
        <w:jc w:val="left"/>
      </w:pPr>
      <w:r>
        <w:t xml:space="preserve">Action concrète : prospection ciblée auprès de 50 directions pédagogiques d'écoles supérieures privées dans les 60 prochains jours.</w:t>
      </w:r>
    </w:p>
    <w:p>
      <w:pPr>
        <w:pStyle w:val="Heading2"/>
        <w:spacing w:after="140" w:before="280"/>
      </w:pPr>
      <w:r>
        <w:rPr>
          <w:b/>
          <w:bCs/>
          <w:color w:val="00A8C8"/>
        </w:rPr>
        <w:t xml:space="preserve">Recommandation 4 — Documenter une étude pilote avec mesure CECRL</w:t>
      </w:r>
    </w:p>
    <w:p>
      <w:pPr>
        <w:spacing w:after="120"/>
        <w:jc w:val="left"/>
      </w:pPr>
      <w:r>
        <w:t xml:space="preserve">Le talon d'Achille actuel de Questia est l'absence de preuve mesurée. Une étude sur 8 personnes avec test CECRL avant/après suffit pour transformer le pitch.</w:t>
      </w:r>
    </w:p>
    <w:p>
      <w:pPr>
        <w:spacing w:after="120"/>
        <w:jc w:val="left"/>
      </w:pPr>
      <w:r>
        <w:t xml:space="preserve">Action concrète : organiser une cohorte test de 8 personnes (étudiants ou professionnels), 4 semaines, mesure A2/B1/B2 en pré-test (Cambridge gratuit) et post-test.</w:t>
      </w:r>
    </w:p>
    <w:p>
      <w:pPr>
        <w:pStyle w:val="Heading2"/>
        <w:spacing w:after="140" w:before="280"/>
      </w:pPr>
      <w:r>
        <w:rPr>
          <w:b/>
          <w:bCs/>
          <w:color w:val="00A8C8"/>
        </w:rPr>
        <w:t xml:space="preserve">Recommandation 5 — Co-construire avec 3 formateurs early adopters</w:t>
      </w:r>
    </w:p>
    <w:p>
      <w:pPr>
        <w:spacing w:after="120"/>
        <w:jc w:val="left"/>
      </w:pPr>
      <w:r>
        <w:t xml:space="preserve">Le risque de méfiance enseignante est réel. La meilleure défense est de transformer les enseignants méfiants en ambassadeurs.</w:t>
      </w:r>
    </w:p>
    <w:p>
      <w:pPr>
        <w:spacing w:after="120"/>
        <w:jc w:val="left"/>
      </w:pPr>
      <w:r>
        <w:t xml:space="preserve">Action concrète : identifier 3 formateurs Qualiopi prêts à co-écrire 2-3 missions chacun en échange d'un accès gratuit + crédit dans le produit.</w:t>
      </w:r>
    </w:p>
    <w:p>
      <w:pPr>
        <w:pStyle w:val="Heading2"/>
        <w:spacing w:after="140" w:before="280"/>
      </w:pPr>
      <w:r>
        <w:rPr>
          <w:b/>
          <w:bCs/>
          <w:color w:val="00A8C8"/>
        </w:rPr>
        <w:t xml:space="preserve">Recommandation 6 — Ne pas s'éparpiller sur les langues</w:t>
      </w:r>
    </w:p>
    <w:p>
      <w:pPr>
        <w:spacing w:after="120"/>
        <w:jc w:val="left"/>
      </w:pPr>
      <w:r>
        <w:t xml:space="preserve">Tentation : ajouter le mandarin, l'arabe, le portugais... Ne pas le faire avant 2027. La profondeur (4 langues bien faites avec keigo, codes culturels, Qualiopi) bat la largeur (10 langues moyennes).</w:t>
      </w:r>
    </w:p>
    <w:p>
      <w:pPr>
        <w:spacing w:after="120"/>
        <w:jc w:val="left"/>
      </w:pPr>
      <w:r>
        <w:t xml:space="preserve">Talkpal a 80 langues et personne n'achète Talkpal pour ses cours de hindi. La largeur sans profondeur ne convertit pas en B2B.</w:t>
      </w:r>
    </w:p>
    <w:p>
      <w:r>
        <w:br w:type="page"/>
      </w:r>
    </w:p>
    <w:p>
      <w:pPr>
        <w:pStyle w:val="Heading1"/>
        <w:pBdr>
          <w:bottom w:val="single" w:color="00A8C8" w:sz="12" w:space="4"/>
        </w:pBdr>
        <w:spacing w:after="200" w:before="360"/>
      </w:pPr>
      <w:r>
        <w:rPr>
          <w:b/>
          <w:bCs/>
          <w:color w:val="0A0E18"/>
        </w:rPr>
        <w:t xml:space="preserve">9. Sources</w:t>
      </w:r>
    </w:p>
    <w:p>
      <w:pPr>
        <w:pStyle w:val="Heading2"/>
        <w:spacing w:after="140" w:before="280"/>
      </w:pPr>
      <w:r>
        <w:rPr>
          <w:b/>
          <w:bCs/>
          <w:color w:val="00A8C8"/>
        </w:rPr>
        <w:t xml:space="preserve">Sites officiels concurrents (consultés en avril 2026)</w:t>
      </w:r>
    </w:p>
    <w:p>
      <w:pPr>
        <w:pStyle w:val="ListParagraph"/>
        <w:numPr>
          <w:ilvl w:val="0"/>
          <w:numId w:val="2"/>
        </w:numPr>
        <w:spacing w:after="80"/>
      </w:pPr>
      <w:r>
        <w:t xml:space="preserve">Babbel for Business : babbelforbusiness.com</w:t>
      </w:r>
    </w:p>
    <w:p>
      <w:pPr>
        <w:pStyle w:val="ListParagraph"/>
        <w:numPr>
          <w:ilvl w:val="0"/>
          <w:numId w:val="2"/>
        </w:numPr>
        <w:spacing w:after="80"/>
      </w:pPr>
      <w:r>
        <w:t xml:space="preserve">Talkpal AI : talkpal.ai</w:t>
      </w:r>
    </w:p>
    <w:p>
      <w:pPr>
        <w:pStyle w:val="ListParagraph"/>
        <w:numPr>
          <w:ilvl w:val="0"/>
          <w:numId w:val="2"/>
        </w:numPr>
        <w:spacing w:after="80"/>
      </w:pPr>
      <w:r>
        <w:t xml:space="preserve">Langua : languatalk.com</w:t>
      </w:r>
    </w:p>
    <w:p>
      <w:pPr>
        <w:pStyle w:val="ListParagraph"/>
        <w:numPr>
          <w:ilvl w:val="0"/>
          <w:numId w:val="2"/>
        </w:numPr>
        <w:spacing w:after="80"/>
      </w:pPr>
      <w:r>
        <w:t xml:space="preserve">Speak : speak.com</w:t>
      </w:r>
    </w:p>
    <w:p>
      <w:pPr>
        <w:pStyle w:val="ListParagraph"/>
        <w:numPr>
          <w:ilvl w:val="0"/>
          <w:numId w:val="2"/>
        </w:numPr>
        <w:spacing w:after="80"/>
      </w:pPr>
      <w:r>
        <w:t xml:space="preserve">Lingoda Teams : lingoda.com/business</w:t>
      </w:r>
    </w:p>
    <w:p>
      <w:pPr>
        <w:pStyle w:val="Heading2"/>
        <w:spacing w:after="140" w:before="280"/>
      </w:pPr>
      <w:r>
        <w:rPr>
          <w:b/>
          <w:bCs/>
          <w:color w:val="00A8C8"/>
        </w:rPr>
        <w:t xml:space="preserve">Comparatifs et études</w:t>
      </w:r>
    </w:p>
    <w:p>
      <w:pPr>
        <w:pStyle w:val="ListParagraph"/>
        <w:numPr>
          <w:ilvl w:val="0"/>
          <w:numId w:val="2"/>
        </w:numPr>
        <w:spacing w:after="80"/>
      </w:pPr>
      <w:r>
        <w:t xml:space="preserve">Capterra (janvier-mars 2026) : « Babbel for Business Software Pricing, Alternatives &amp; More »</w:t>
      </w:r>
    </w:p>
    <w:p>
      <w:pPr>
        <w:pStyle w:val="ListParagraph"/>
        <w:numPr>
          <w:ilvl w:val="0"/>
          <w:numId w:val="2"/>
        </w:numPr>
        <w:spacing w:after="80"/>
      </w:pPr>
      <w:r>
        <w:t xml:space="preserve">GetApp (2026) : « Babbel for Business Pricing, Features, Reviews &amp; Alternatives »</w:t>
      </w:r>
    </w:p>
    <w:p>
      <w:pPr>
        <w:pStyle w:val="ListParagraph"/>
        <w:numPr>
          <w:ilvl w:val="0"/>
          <w:numId w:val="2"/>
        </w:numPr>
        <w:spacing w:after="80"/>
      </w:pPr>
      <w:r>
        <w:t xml:space="preserve">NerdWallet (mars 2026) : « How Much Does Babbel Cost? »</w:t>
      </w:r>
    </w:p>
    <w:p>
      <w:pPr>
        <w:pStyle w:val="ListParagraph"/>
        <w:numPr>
          <w:ilvl w:val="0"/>
          <w:numId w:val="2"/>
        </w:numPr>
        <w:spacing w:after="80"/>
      </w:pPr>
      <w:r>
        <w:t xml:space="preserve">Talkio AI Comparison Reports (février 2026) : « Best AI Language Speaking Practice Apps in 2026 »</w:t>
      </w:r>
    </w:p>
    <w:p>
      <w:pPr>
        <w:pStyle w:val="ListParagraph"/>
        <w:numPr>
          <w:ilvl w:val="0"/>
          <w:numId w:val="2"/>
        </w:numPr>
        <w:spacing w:after="80"/>
      </w:pPr>
      <w:r>
        <w:t xml:space="preserve">LanguaTalk Blog (mars 2026) : « What's the best AI language learning app in 2026? »</w:t>
      </w:r>
    </w:p>
    <w:p>
      <w:pPr>
        <w:pStyle w:val="ListParagraph"/>
        <w:numPr>
          <w:ilvl w:val="0"/>
          <w:numId w:val="2"/>
        </w:numPr>
        <w:spacing w:after="80"/>
      </w:pPr>
      <w:r>
        <w:t xml:space="preserve">Lingtuitive (février 2026) : « Best AI Speaking Apps 2026 — 5 Apps Tested &amp; Compared »</w:t>
      </w:r>
    </w:p>
    <w:p>
      <w:pPr>
        <w:pStyle w:val="ListParagraph"/>
        <w:numPr>
          <w:ilvl w:val="0"/>
          <w:numId w:val="2"/>
        </w:numPr>
        <w:spacing w:after="80"/>
      </w:pPr>
      <w:r>
        <w:t xml:space="preserve">Test Prep Insight (février 2026) : « Talkpal Reviewed by Experts »</w:t>
      </w:r>
    </w:p>
    <w:p>
      <w:pPr>
        <w:pStyle w:val="ListParagraph"/>
        <w:numPr>
          <w:ilvl w:val="0"/>
          <w:numId w:val="2"/>
        </w:numPr>
        <w:spacing w:after="80"/>
      </w:pPr>
      <w:r>
        <w:t xml:space="preserve">Copycat Cafe (mars 2026) : « 10 Best AI Language Learning Apps 2026 (Tested) »</w:t>
      </w:r>
    </w:p>
    <w:p>
      <w:pPr>
        <w:pStyle w:val="Heading2"/>
        <w:spacing w:after="140" w:before="280"/>
      </w:pPr>
      <w:r>
        <w:rPr>
          <w:b/>
          <w:bCs/>
          <w:color w:val="00A8C8"/>
        </w:rPr>
        <w:t xml:space="preserve">Études marché France</w:t>
      </w:r>
    </w:p>
    <w:p>
      <w:pPr>
        <w:pStyle w:val="ListParagraph"/>
        <w:numPr>
          <w:ilvl w:val="0"/>
          <w:numId w:val="2"/>
        </w:numPr>
        <w:spacing w:after="80"/>
      </w:pPr>
      <w:r>
        <w:t xml:space="preserve">Centre Inffo (2025) : Baromètre de la formation professionnelle 2025 — 34% des OF utilisent l'IA, 12% l'ont formalisée</w:t>
      </w:r>
    </w:p>
    <w:p>
      <w:pPr>
        <w:pStyle w:val="ListParagraph"/>
        <w:numPr>
          <w:ilvl w:val="0"/>
          <w:numId w:val="2"/>
        </w:numPr>
        <w:spacing w:after="80"/>
      </w:pPr>
      <w:r>
        <w:t xml:space="preserve">GoStudent (novembre 2025) : « 70 statistiques sur l'IA dans l'éducation en France 2025 »</w:t>
      </w:r>
    </w:p>
    <w:p>
      <w:pPr>
        <w:pStyle w:val="ListParagraph"/>
        <w:numPr>
          <w:ilvl w:val="0"/>
          <w:numId w:val="2"/>
        </w:numPr>
        <w:spacing w:after="80"/>
      </w:pPr>
      <w:r>
        <w:t xml:space="preserve">Étude Léonard de Vinci x Talan (2025) : 70% des étudiants ont une vision positive de l'IA, 51% disent dépendre de ChatGPT</w:t>
      </w:r>
    </w:p>
    <w:p>
      <w:pPr>
        <w:pStyle w:val="ListParagraph"/>
        <w:numPr>
          <w:ilvl w:val="0"/>
          <w:numId w:val="2"/>
        </w:numPr>
        <w:spacing w:after="80"/>
      </w:pPr>
      <w:r>
        <w:t xml:space="preserve">Slate.fr (janvier 2026) : « Un avant et un après l'arrivée de l'IA » : 56% des enseignants français souhaitent être formés à l'IA</w:t>
      </w:r>
    </w:p>
    <w:p>
      <w:pPr>
        <w:pStyle w:val="ListParagraph"/>
        <w:numPr>
          <w:ilvl w:val="0"/>
          <w:numId w:val="2"/>
        </w:numPr>
        <w:spacing w:after="80"/>
      </w:pPr>
      <w:r>
        <w:t xml:space="preserve">Ministère de l'Éducation nationale : Plan national de formation à l'IA, déployé depuis janvier 2025</w:t>
      </w:r>
    </w:p>
    <w:p>
      <w:pPr>
        <w:pStyle w:val="Heading2"/>
        <w:spacing w:after="140" w:before="280"/>
      </w:pPr>
      <w:r>
        <w:rPr>
          <w:b/>
          <w:bCs/>
          <w:color w:val="00A8C8"/>
        </w:rPr>
        <w:t xml:space="preserve">Cadre réglementaire</w:t>
      </w:r>
    </w:p>
    <w:p>
      <w:pPr>
        <w:pStyle w:val="ListParagraph"/>
        <w:numPr>
          <w:ilvl w:val="0"/>
          <w:numId w:val="2"/>
        </w:numPr>
        <w:spacing w:after="80"/>
      </w:pPr>
      <w:r>
        <w:t xml:space="preserve">Référentiel National Qualité (RNQ) : 7 critères, 32 indicateurs</w:t>
      </w:r>
    </w:p>
    <w:p>
      <w:pPr>
        <w:pStyle w:val="ListParagraph"/>
        <w:numPr>
          <w:ilvl w:val="0"/>
          <w:numId w:val="2"/>
        </w:numPr>
        <w:spacing w:after="80"/>
      </w:pPr>
      <w:r>
        <w:t xml:space="preserve">Réforme Qualiopi 2025 : nouvelles exigences sur sous-traitance et intégration des outils numériques (Onlineformapro, juillet 2025)</w:t>
      </w:r>
    </w:p>
    <w:p>
      <w:pPr>
        <w:pStyle w:val="ListParagraph"/>
        <w:numPr>
          <w:ilvl w:val="0"/>
          <w:numId w:val="2"/>
        </w:numPr>
        <w:spacing w:after="80"/>
      </w:pPr>
      <w:r>
        <w:t xml:space="preserve">AI Act européen (règlement UE 2024/1689) : niveau minimal de compétences IA exigé depuis février 2025</w:t>
      </w:r>
    </w:p>
    <w:p>
      <w:pPr>
        <w:spacing w:after="120"/>
        <w:jc w:val="left"/>
      </w:pPr>
      <w:r>
        <w:rPr>
          <w:i/>
          <w:iCs/>
          <w:color w:val="586378"/>
        </w:rPr>
        <w:t xml:space="preserve">Document préparé en avril 2026. À mettre à jour tous les 6 mois compte tenu de la vitesse d'évolution du marché.</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86378"/>
        <w:sz w:val="16"/>
        <w:szCs w:val="16"/>
      </w:rPr>
      <w:t xml:space="preserve">Document de travail · Confidentiel · </w:t>
    </w:r>
    <w:r>
      <w:rPr>
        <w:color w:val="586378"/>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86378"/>
        <w:sz w:val="18"/>
        <w:szCs w:val="18"/>
      </w:rPr>
      <w:t xml:space="preserve">QUESTIA · Benchmark concurrentiel · Avril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0A0E18"/>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00A8C8"/>
      <w:sz w:val="28"/>
      <w:szCs w:val="28"/>
    </w:rPr>
  </w:style>
  <w:style w:type="paragraph" w:styleId="Heading3">
    <w:name w:val="Heading 3"/>
    <w:basedOn w:val="Normal"/>
    <w:next w:val="Normal"/>
    <w:qFormat/>
    <w:pPr>
      <w:spacing w:after="80" w:before="180"/>
      <w:outlineLvl w:val="2"/>
    </w:pPr>
    <w:rPr>
      <w:rFonts w:ascii="Arial" w:cs="Arial" w:eastAsia="Arial" w:hAnsi="Arial"/>
      <w:b/>
      <w:bCs/>
      <w:color w:val="0A0E1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Benchmark concurrentiel Questia</dc:title>
  <dc:creator>Questia</dc:creator>
  <cp:lastModifiedBy>Un-named</cp:lastModifiedBy>
  <cp:revision>1</cp:revision>
  <dcterms:created xsi:type="dcterms:W3CDTF">2026-04-30T12:33:53.432Z</dcterms:created>
  <dcterms:modified xsi:type="dcterms:W3CDTF">2026-04-30T12:33:53.432Z</dcterms:modified>
</cp:coreProperties>
</file>

<file path=docProps/custom.xml><?xml version="1.0" encoding="utf-8"?>
<Properties xmlns="http://schemas.openxmlformats.org/officeDocument/2006/custom-properties" xmlns:vt="http://schemas.openxmlformats.org/officeDocument/2006/docPropsVTypes"/>
</file>