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CONTRAT DE LICENCE D’UTILISATION</w:t>
      </w:r>
    </w:p>
    <w:p>
      <w:pPr>
        <w:pStyle w:val="Title"/>
      </w:pPr>
      <w:r>
        <w:t xml:space="preserve">ET DE DISTRIBUTION (REVENDEUR)</w:t>
      </w:r>
    </w:p>
    <w:p>
      <w:pPr>
        <w:spacing w:after="60"/>
        <w:jc w:val="center"/>
      </w:pPr>
      <w:r>
        <w:rPr>
          <w:i/>
          <w:iCs/>
          <w:sz w:val="20"/>
          <w:szCs w:val="20"/>
        </w:rPr>
        <w:t xml:space="preserve">avec prestation de maintenance et redevance assise sur le chiffre d’affaires</w:t>
      </w:r>
    </w:p>
    <w:p>
      <w:pPr>
        <w:spacing w:after="240"/>
        <w:jc w:val="center"/>
      </w:pPr>
      <w:r>
        <w:rPr>
          <w:color w:val="555555"/>
          <w:sz w:val="18"/>
          <w:szCs w:val="18"/>
        </w:rPr>
        <w:t xml:space="preserve">Outil « IMMO COMMAND » – solution logicielle de simulation et de formation</w:t>
      </w:r>
    </w:p>
    <w:p>
      <w:r>
        <w:t xml:space="preserve">ENTRE LES SOUSSIGNÉS</w:t>
      </w:r>
    </w:p>
    <w:p>
      <w:pPr>
        <w:spacing w:after="120"/>
        <w:jc w:val="both"/>
      </w:pPr>
      <w:r>
        <w:t xml:space="preserve">Madame Priscille Sandrine, </w:t>
      </w:r>
      <w:r>
        <w:t xml:space="preserve">[exerçant en qualité de – entreprise individuelle / micro-entreprise / EI / dirigeante de la société _____________]</w:t>
      </w:r>
      <w:r>
        <w:t xml:space="preserve">, dont le siège / domicile professionnel est situé [adresse complète], immatriculée sous le numéro [SIREN / SIRET], courriel : </w:t>
      </w:r>
      <w:r>
        <w:rPr>
          <w:b/>
          <w:bCs/>
        </w:rPr>
        <w:t xml:space="preserve">priscillesandrine@gmail.com</w:t>
      </w:r>
      <w:r>
        <w:t xml:space="preserve">,</w:t>
      </w:r>
    </w:p>
    <w:p>
      <w:pPr>
        <w:spacing w:after="120"/>
        <w:jc w:val="both"/>
      </w:pPr>
      <w:r>
        <w:t xml:space="preserve">ci-après dénommée le « Concédant »,</w:t>
      </w:r>
    </w:p>
    <w:p>
      <w:pPr>
        <w:spacing w:after="120"/>
        <w:jc w:val="center"/>
      </w:pPr>
      <w:r>
        <w:rPr>
          <w:b/>
          <w:bCs/>
        </w:rPr>
        <w:t xml:space="preserve">D’UNE PART,</w:t>
      </w:r>
    </w:p>
    <w:p>
      <w:pPr>
        <w:spacing w:after="120"/>
        <w:jc w:val="both"/>
      </w:pPr>
      <w:r>
        <w:t xml:space="preserve">La société [dénomination sociale], [forme – SAS / SARL / …] au capital de [montant] euros, dont le siège social est situé [adresse], immatriculée au RCS de [ville] sous le numéro [SIREN], représentée par [Prénom NOM] en sa qualité de [fonction], dûment habilité(e),</w:t>
      </w:r>
    </w:p>
    <w:p>
      <w:pPr>
        <w:spacing w:after="120"/>
        <w:jc w:val="both"/>
      </w:pPr>
      <w:r>
        <w:t xml:space="preserve">ci-après dénommée le « Revendeur »,</w:t>
      </w:r>
    </w:p>
    <w:p>
      <w:pPr>
        <w:spacing w:after="120"/>
        <w:jc w:val="center"/>
      </w:pPr>
      <w:r>
        <w:rPr>
          <w:b/>
          <w:bCs/>
        </w:rPr>
        <w:t xml:space="preserve">D’AUTRE PART,</w:t>
      </w:r>
    </w:p>
    <w:p>
      <w:pPr>
        <w:spacing w:after="120"/>
        <w:jc w:val="both"/>
      </w:pPr>
      <w:r>
        <w:t xml:space="preserve">Le Concédant et le Revendeur étant ci-après dénommés individuellement une « Partie » et ensemble les « Parties ».</w:t>
      </w:r>
    </w:p>
    <w:p>
      <w:r>
        <w:t xml:space="preserve">IL A ÉTÉ PRÉALABLEMENT EXPOSÉ CE QUI SUIT</w:t>
      </w:r>
    </w:p>
    <w:p>
      <w:pPr>
        <w:spacing w:after="120"/>
        <w:jc w:val="both"/>
      </w:pPr>
      <w:r>
        <w:t xml:space="preserve">Le Concédant a conçu, développé et détient l’ensemble des droits de propriété intellectuelle sur une solution logicielle dénommée « IMMO COMMAND » (ci-après l’« Outil »), simulateur interactif de formation comportant notamment des scénarios pédagogiques, un coach assisté par intelligence artificielle, un système de scoring, des modes de réponse multiples, un mode collaboratif et un créateur de scénarios, dont les caractéristiques sont décrites en Annexe 1.</w:t>
      </w:r>
    </w:p>
    <w:p>
      <w:pPr>
        <w:spacing w:after="120"/>
        <w:jc w:val="both"/>
      </w:pPr>
      <w:r>
        <w:t xml:space="preserve">L’Outil est exploité en mode hébergé (SaaS) sur l’infrastructure « Lovable Cloud », reposant sur la technologie « Supabase », dont la région d’hébergement des données est paramétrée dans l’Union européenne, ainsi que, le cas échéant, sur les services d’un fournisseur d’intelligence artificielle pour la fonction de coach IA.</w:t>
      </w:r>
    </w:p>
    <w:p>
      <w:pPr>
        <w:spacing w:after="120"/>
        <w:jc w:val="both"/>
      </w:pPr>
      <w:r>
        <w:t xml:space="preserve">Le Revendeur exerce une activité de [distribution / intégration / commercialisation de solutions de formation] et dispose des moyens commerciaux pour promouvoir et commercialiser l’Outil auprès de sa propre clientèle (ci-après les « Clients finaux »).</w:t>
      </w:r>
    </w:p>
    <w:p>
      <w:pPr>
        <w:spacing w:after="120"/>
        <w:jc w:val="both"/>
      </w:pPr>
      <w:r>
        <w:t xml:space="preserve">Le Revendeur souhaite obtenir le droit de commercialiser l’Outil et d’en concéder l’accès à ses Clients finaux ; le Concédant accepte de lui concéder ce droit dans les conditions du présent contrat (ci-après le « Contrat »).</w:t>
      </w:r>
    </w:p>
    <w:p>
      <w:pPr>
        <w:spacing w:after="120"/>
        <w:jc w:val="both"/>
      </w:pPr>
      <w:r>
        <w:t xml:space="preserve">Les Parties reconnaissent avoir bénéficié du temps et des informations nécessaires pour apprécier la portée de leurs engagements.</w:t>
      </w:r>
    </w:p>
    <w:p>
      <w:pPr>
        <w:spacing w:after="60"/>
        <w:jc w:val="center"/>
      </w:pPr>
      <w:r>
        <w:rPr>
          <w:b/>
          <w:bCs/>
        </w:rPr>
        <w:t xml:space="preserve">CECI EXPOSÉ, IL A ÉTÉ CONVENU CE QUI SUIT :</w:t>
      </w:r>
    </w:p>
    <w:p>
      <w:pPr>
        <w:spacing w:after="140" w:before="260"/>
      </w:pPr>
      <w:r>
        <w:t xml:space="preserve">ARTICLE 1 – DÉFINITIONS</w:t>
      </w:r>
    </w:p>
    <w:p>
      <w:pPr>
        <w:spacing w:after="120"/>
        <w:jc w:val="both"/>
      </w:pPr>
      <w:r>
        <w:t xml:space="preserve">Les termes ci-dessous, employés avec une majuscule, ont la signification suivante :</w:t>
      </w:r>
    </w:p>
    <w:p>
      <w:pPr>
        <w:spacing w:after="110"/>
        <w:jc w:val="both"/>
      </w:pPr>
      <w:r>
        <w:rPr>
          <w:b/>
          <w:bCs/>
        </w:rPr>
        <w:t xml:space="preserve">« Outil » : </w:t>
      </w:r>
      <w:r>
        <w:t xml:space="preserve">la solution logicielle « IMMO COMMAND » décrite en Annexe 1, dans sa version en vigueur, ainsi que ses mises à jour, correctifs et évolutions, et la Documentation associée.</w:t>
      </w:r>
    </w:p>
    <w:p>
      <w:pPr>
        <w:spacing w:after="110"/>
        <w:jc w:val="both"/>
      </w:pPr>
      <w:r>
        <w:rPr>
          <w:b/>
          <w:bCs/>
        </w:rPr>
        <w:t xml:space="preserve">« Documentation » : </w:t>
      </w:r>
      <w:r>
        <w:t xml:space="preserve">l’ensemble des supports d’utilisation, manuels et guides fournis par le Concédant.</w:t>
      </w:r>
    </w:p>
    <w:p>
      <w:pPr>
        <w:spacing w:after="110"/>
        <w:jc w:val="both"/>
      </w:pPr>
      <w:r>
        <w:rPr>
          <w:b/>
          <w:bCs/>
        </w:rPr>
        <w:t xml:space="preserve">« Client final » : </w:t>
      </w:r>
      <w:r>
        <w:t xml:space="preserve">toute personne physique ou morale à laquelle le Revendeur fournit, directement ou indirectement, un accès à l’Outil.</w:t>
      </w:r>
    </w:p>
    <w:p>
      <w:pPr>
        <w:spacing w:after="110"/>
        <w:jc w:val="both"/>
      </w:pPr>
      <w:r>
        <w:rPr>
          <w:b/>
          <w:bCs/>
        </w:rPr>
        <w:t xml:space="preserve">« Utilisateur » : </w:t>
      </w:r>
      <w:r>
        <w:t xml:space="preserve">toute personne autorisée à accéder à l’Outil pour le compte d’un Client final (formateur, apprenant, administrateur).</w:t>
      </w:r>
    </w:p>
    <w:p>
      <w:pPr>
        <w:spacing w:after="110"/>
        <w:jc w:val="both"/>
      </w:pPr>
      <w:r>
        <w:rPr>
          <w:b/>
          <w:bCs/>
        </w:rPr>
        <w:t xml:space="preserve">« Territoire » : </w:t>
      </w:r>
      <w:r>
        <w:t xml:space="preserve">le territoire sur lequel le Revendeur est autorisé à commercialiser l’Outil, soit [ex. : la France métropolitaine / l’Union européenne / le monde entier].</w:t>
      </w:r>
    </w:p>
    <w:p>
      <w:pPr>
        <w:spacing w:after="110"/>
        <w:jc w:val="both"/>
      </w:pPr>
      <w:r>
        <w:rPr>
          <w:b/>
          <w:bCs/>
        </w:rPr>
        <w:t xml:space="preserve">« Chiffre d’affaires » : </w:t>
      </w:r>
      <w:r>
        <w:t xml:space="preserve">l’ensemble des sommes hors taxes effectivement encaissées par le Revendeur au titre de l’exploitation de l’Outil, telles que définies à l’Article 7.</w:t>
      </w:r>
    </w:p>
    <w:p>
      <w:pPr>
        <w:spacing w:after="110"/>
        <w:jc w:val="both"/>
      </w:pPr>
      <w:r>
        <w:rPr>
          <w:b/>
          <w:bCs/>
        </w:rPr>
        <w:t xml:space="preserve">« Redevance » : </w:t>
      </w:r>
      <w:r>
        <w:t xml:space="preserve">la redevance proportionnelle due au Concédant, égale à 20 % du Chiffre d’affaires.</w:t>
      </w:r>
    </w:p>
    <w:p>
      <w:pPr>
        <w:spacing w:after="110"/>
        <w:jc w:val="both"/>
      </w:pPr>
      <w:r>
        <w:rPr>
          <w:b/>
          <w:bCs/>
        </w:rPr>
        <w:t xml:space="preserve">« Données » : </w:t>
      </w:r>
      <w:r>
        <w:t xml:space="preserve">l’ensemble des données, y compris les données à caractère personnel, traitées au moyen de l’Outil.</w:t>
      </w:r>
    </w:p>
    <w:p>
      <w:pPr>
        <w:spacing w:after="110"/>
        <w:jc w:val="both"/>
      </w:pPr>
      <w:r>
        <w:rPr>
          <w:b/>
          <w:bCs/>
        </w:rPr>
        <w:t xml:space="preserve">« Infrastructure » : </w:t>
      </w:r>
      <w:r>
        <w:t xml:space="preserve">l’environnement d’hébergement et les services techniques tiers utilisés pour l’exploitation de l’Outil, notamment Lovable Cloud, Supabase et, le cas échéant, le fournisseur de service d’intelligence artificielle.</w:t>
      </w:r>
    </w:p>
    <w:p>
      <w:pPr>
        <w:spacing w:after="140" w:before="260"/>
      </w:pPr>
      <w:r>
        <w:t xml:space="preserve">ARTICLE 2 – OBJET</w:t>
      </w:r>
    </w:p>
    <w:p>
      <w:pPr>
        <w:spacing w:after="120"/>
        <w:jc w:val="both"/>
      </w:pPr>
      <w:r>
        <w:t xml:space="preserve">Le Contrat a pour objet de définir les conditions dans lesquelles le Concédant :</w:t>
      </w:r>
    </w:p>
    <w:p>
      <w:pPr>
        <w:pStyle w:val="ListParagraph"/>
        <w:numPr>
          <w:ilvl w:val="0"/>
          <w:numId w:val="2"/>
        </w:numPr>
        <w:spacing w:after="70"/>
        <w:jc w:val="both"/>
      </w:pPr>
      <w:r>
        <w:t xml:space="preserve">concède au Revendeur une licence d’utilisation de l’Outil ainsi que le droit de le commercialiser et d’en concéder l’accès aux Clients finaux ;</w:t>
      </w:r>
    </w:p>
    <w:p>
      <w:pPr>
        <w:pStyle w:val="ListParagraph"/>
        <w:numPr>
          <w:ilvl w:val="0"/>
          <w:numId w:val="2"/>
        </w:numPr>
        <w:spacing w:after="70"/>
        <w:jc w:val="both"/>
      </w:pPr>
      <w:r>
        <w:t xml:space="preserve">assure la maintenance et le support de l’Outil ;</w:t>
      </w:r>
    </w:p>
    <w:p>
      <w:pPr>
        <w:spacing w:after="120"/>
        <w:jc w:val="both"/>
      </w:pPr>
      <w:r>
        <w:t xml:space="preserve">et les conditions dans lesquelles le Revendeur verse au Concédant une Redevance assise sur son Chiffre d’affaires.</w:t>
      </w:r>
    </w:p>
    <w:p>
      <w:pPr>
        <w:spacing w:after="140" w:before="260"/>
      </w:pPr>
      <w:r>
        <w:t xml:space="preserve">ARTICLE 3 – CONCESSION DE LICENCE ET DROIT DE DISTRIBUTION</w:t>
      </w:r>
    </w:p>
    <w:p>
      <w:pPr>
        <w:spacing w:after="60" w:before="100"/>
      </w:pPr>
      <w:r>
        <w:rPr>
          <w:b/>
          <w:bCs/>
        </w:rPr>
        <w:t xml:space="preserve">3.1 – Étendue de la licence</w:t>
      </w:r>
    </w:p>
    <w:p>
      <w:pPr>
        <w:spacing w:after="120"/>
        <w:jc w:val="both"/>
      </w:pPr>
      <w:r>
        <w:t xml:space="preserve">Le Concédant concède au Revendeur, pour la durée du Contrat et sur le Territoire, un droit [exclusif / non exclusif] [option à cocher], personnel, incessible (sous réserve de l’Article 20) :</w:t>
      </w:r>
    </w:p>
    <w:p>
      <w:pPr>
        <w:pStyle w:val="ListParagraph"/>
        <w:numPr>
          <w:ilvl w:val="0"/>
          <w:numId w:val="2"/>
        </w:numPr>
        <w:spacing w:after="70"/>
        <w:jc w:val="both"/>
      </w:pPr>
      <w:r>
        <w:t xml:space="preserve">d’utiliser l’Outil aux fins de démonstration, de commercialisation et de fourniture aux Clients finaux ;</w:t>
      </w:r>
    </w:p>
    <w:p>
      <w:pPr>
        <w:pStyle w:val="ListParagraph"/>
        <w:numPr>
          <w:ilvl w:val="0"/>
          <w:numId w:val="2"/>
        </w:numPr>
        <w:spacing w:after="70"/>
        <w:jc w:val="both"/>
      </w:pPr>
      <w:r>
        <w:t xml:space="preserve">de concéder aux Clients finaux un droit d’accès et d’utilisation de l’Outil (sous-licence), strictement limité à leurs besoins propres et aux conditions au moins aussi protectrices que celles du Contrat.</w:t>
      </w:r>
    </w:p>
    <w:p>
      <w:pPr>
        <w:spacing w:after="60" w:before="100"/>
      </w:pPr>
      <w:r>
        <w:rPr>
          <w:b/>
          <w:bCs/>
        </w:rPr>
        <w:t xml:space="preserve">3.2 – Exclusivité [le cas échéant]</w:t>
      </w:r>
    </w:p>
    <w:p>
      <w:pPr>
        <w:spacing w:after="120"/>
        <w:jc w:val="both"/>
      </w:pPr>
      <w:r>
        <w:t xml:space="preserve">Si une exclusivité est concédée, elle est subordonnée à la réalisation d’un chiffre d’affaires minimum annuel de [montant] euros HT et/ou au versement d’une redevance minimale garantie prévue à l’Article 7. À défaut, le Concédant pourra, après mise en demeure restée infructueuse pendant [30] jours, convertir l’exclusivité en non-exclusivité sans indemnité.</w:t>
      </w:r>
    </w:p>
    <w:p>
      <w:pPr>
        <w:spacing w:after="60" w:before="100"/>
      </w:pPr>
      <w:r>
        <w:rPr>
          <w:b/>
          <w:bCs/>
        </w:rPr>
        <w:t xml:space="preserve">3.3 – Restrictions</w:t>
      </w:r>
    </w:p>
    <w:p>
      <w:pPr>
        <w:spacing w:after="120"/>
        <w:jc w:val="both"/>
      </w:pPr>
      <w:r>
        <w:t xml:space="preserve">Le Revendeur s’interdit, et fait interdiction à ses Clients finaux, de : (i) céder, louer, prêter ou mettre l’Outil à disposition de tiers en dehors du cadre autorisé ; (ii) décompiler, désassembler ou procéder à de l’ingénierie inverse, sauf dans les limites impératives de la loi ; (iii) modifier, adapter ou créer des œuvres dérivées de l’Outil sans autorisation écrite ; (iv) supprimer ou altérer les mentions de propriété ; (v) utiliser l’Outil à des fins illicites.</w:t>
      </w:r>
    </w:p>
    <w:p>
      <w:pPr>
        <w:spacing w:after="140" w:before="260"/>
      </w:pPr>
      <w:r>
        <w:t xml:space="preserve">ARTICLE 4 – PROPRIÉTÉ INTELLECTUELLE</w:t>
      </w:r>
    </w:p>
    <w:p>
      <w:pPr>
        <w:spacing w:after="120"/>
        <w:jc w:val="both"/>
      </w:pPr>
      <w:r>
        <w:t xml:space="preserve">L’Outil, son code source et objet, son architecture, ses interfaces, sa Documentation, ses marques, logos et tout élément associé demeurent la propriété exclusive du Concédant. Le Contrat n’emporte aucune cession de droits de propriété intellectuelle au profit du Revendeur, mais une simple concession de droits d’usage limités.</w:t>
      </w:r>
    </w:p>
    <w:p>
      <w:pPr>
        <w:spacing w:after="120"/>
        <w:jc w:val="both"/>
      </w:pPr>
      <w:r>
        <w:t xml:space="preserve">Le Revendeur s’engage à protéger les droits du Concédant, à l’informer sans délai de toute atteinte dont il aurait connaissance et à ne déposer aucun droit (marque, nom de domaine) reproduisant ou imitant les signes distinctifs de l’Outil.</w:t>
      </w:r>
    </w:p>
    <w:p>
      <w:pPr>
        <w:spacing w:after="120"/>
        <w:jc w:val="both"/>
      </w:pPr>
      <w:r>
        <w:t xml:space="preserve">Toute évolution, suggestion ou retour transmis par le Revendeur pourra être librement intégré par le Concédant à l’Outil, sans contrepartie et sans créer de droit au profit du Revendeur.</w:t>
      </w:r>
    </w:p>
    <w:p>
      <w:pPr>
        <w:spacing w:after="140" w:before="260"/>
      </w:pPr>
      <w:r>
        <w:t xml:space="preserve">ARTICLE 5 – HÉBERGEMENT ET INFRASTRUCTURE TECHNIQUE</w:t>
      </w:r>
    </w:p>
    <w:p>
      <w:pPr>
        <w:spacing w:after="120"/>
        <w:jc w:val="both"/>
      </w:pPr>
      <w:r>
        <w:t xml:space="preserve">L’Outil est exploité en mode hébergé sur l’Infrastructure (Lovable Cloud, reposant sur Supabase, et, le cas échéant, le fournisseur de service d’intelligence artificielle). Le Concédant administre l’environnement applicatif et veille à ce que la région d’hébergement des Données soit paramétrée dans l’Union européenne.</w:t>
      </w:r>
    </w:p>
    <w:p>
      <w:pPr>
        <w:spacing w:after="120"/>
        <w:jc w:val="both"/>
      </w:pPr>
      <w:r>
        <w:t xml:space="preserve">Les Parties reconnaissent que l’Infrastructure est fournie par des prestataires tiers ; le Concédant ne saurait être tenu responsable des interruptions, défaillances ou évolutions imputables à ces tiers, au-delà de ses obligations de moyens définies à l’Article 6.</w:t>
      </w:r>
    </w:p>
    <w:p>
      <w:pPr>
        <w:spacing w:after="120"/>
        <w:jc w:val="both"/>
      </w:pPr>
      <w:r>
        <w:t xml:space="preserve">Les Parties reconnaissent expressément que l’activation de Lovable Cloud sur un projet est, en l’état des conditions du prestataire, irréversible (impossibilité de déconnecter le projet du Cloud), ce qui peut induire une dépendance technique. Les modalités d’export et de réversibilité des Données sont précisées à l’Article 17 et en Annexe 4.</w:t>
      </w:r>
    </w:p>
    <w:p>
      <w:pPr>
        <w:spacing w:after="120"/>
        <w:jc w:val="both"/>
      </w:pPr>
      <w:r>
        <w:t xml:space="preserve">Les coûts d’hébergement et de consommation de l’Infrastructure (y compris la consommation du service d’intelligence artificielle) sont [à la charge du Concédant et intégrés au forfait de maintenance / refacturés au Revendeur selon l’usage – option à préciser en Annexe 3].</w:t>
      </w:r>
    </w:p>
    <w:p>
      <w:pPr>
        <w:spacing w:after="140" w:before="260"/>
      </w:pPr>
      <w:r>
        <w:t xml:space="preserve">ARTICLE 6 – MAINTENANCE ET SUPPORT</w:t>
      </w:r>
    </w:p>
    <w:p>
      <w:pPr>
        <w:spacing w:after="60" w:before="100"/>
      </w:pPr>
      <w:r>
        <w:rPr>
          <w:b/>
          <w:bCs/>
        </w:rPr>
        <w:t xml:space="preserve">6.1 – Périmètre</w:t>
      </w:r>
    </w:p>
    <w:p>
      <w:pPr>
        <w:spacing w:after="120"/>
        <w:jc w:val="both"/>
      </w:pPr>
      <w:r>
        <w:t xml:space="preserve">Le Concédant assure, pendant la durée du Contrat, une prestation de maintenance comprenant :</w:t>
      </w:r>
    </w:p>
    <w:p>
      <w:pPr>
        <w:pStyle w:val="ListParagraph"/>
        <w:numPr>
          <w:ilvl w:val="0"/>
          <w:numId w:val="2"/>
        </w:numPr>
        <w:spacing w:after="70"/>
        <w:jc w:val="both"/>
      </w:pPr>
      <w:r>
        <w:t xml:space="preserve">la maintenance corrective : correction des anomalies reproductibles affectant le fonctionnement de l’Outil ;</w:t>
      </w:r>
    </w:p>
    <w:p>
      <w:pPr>
        <w:pStyle w:val="ListParagraph"/>
        <w:numPr>
          <w:ilvl w:val="0"/>
          <w:numId w:val="2"/>
        </w:numPr>
        <w:spacing w:after="70"/>
        <w:jc w:val="both"/>
      </w:pPr>
      <w:r>
        <w:t xml:space="preserve">la maintenance évolutive : mises à jour, améliorations et nouvelles fonctionnalités décidées par le Concédant ;</w:t>
      </w:r>
    </w:p>
    <w:p>
      <w:pPr>
        <w:pStyle w:val="ListParagraph"/>
        <w:numPr>
          <w:ilvl w:val="0"/>
          <w:numId w:val="2"/>
        </w:numPr>
        <w:spacing w:after="70"/>
        <w:jc w:val="both"/>
      </w:pPr>
      <w:r>
        <w:t xml:space="preserve">la maintenance adaptative : adaptations rendues nécessaires par l’évolution de l’Infrastructure ou de l’environnement technique ;</w:t>
      </w:r>
    </w:p>
    <w:p>
      <w:pPr>
        <w:pStyle w:val="ListParagraph"/>
        <w:numPr>
          <w:ilvl w:val="0"/>
          <w:numId w:val="2"/>
        </w:numPr>
        <w:spacing w:after="70"/>
        <w:jc w:val="both"/>
      </w:pPr>
      <w:r>
        <w:t xml:space="preserve">le support : assistance du Revendeur (et non directement des Clients finaux, sauf accord séparé) selon les modalités de l’Annexe 2.</w:t>
      </w:r>
    </w:p>
    <w:p>
      <w:pPr>
        <w:spacing w:after="60" w:before="100"/>
      </w:pPr>
      <w:r>
        <w:rPr>
          <w:b/>
          <w:bCs/>
        </w:rPr>
        <w:t xml:space="preserve">6.2 – Niveaux de service (SLA)</w:t>
      </w:r>
    </w:p>
    <w:p>
      <w:pPr>
        <w:spacing w:after="120"/>
        <w:jc w:val="both"/>
      </w:pPr>
      <w:r>
        <w:t xml:space="preserve">Les engagements de disponibilité, les plages de support, la classification des anomalies et les délais de prise en charge et de rétablissement figurent en Annexe 2. Sauf stipulation contraire, les engagements du Concédant constituent des obligations de moyens.</w:t>
      </w:r>
    </w:p>
    <w:p>
      <w:pPr>
        <w:spacing w:after="60" w:before="100"/>
      </w:pPr>
      <w:r>
        <w:rPr>
          <w:b/>
          <w:bCs/>
        </w:rPr>
        <w:t xml:space="preserve">6.3 – Exclusions</w:t>
      </w:r>
    </w:p>
    <w:p>
      <w:pPr>
        <w:spacing w:after="120"/>
        <w:jc w:val="both"/>
      </w:pPr>
      <w:r>
        <w:t xml:space="preserve">Sont notamment exclus de la maintenance : les anomalies résultant d’un usage non conforme, d’une intervention non autorisée, d’un défaut de l’Infrastructure tierce, du matériel ou des réseaux du Revendeur ou des Clients finaux, ainsi que les développements spécifiques, qui feront l’objet d’un devis distinct.</w:t>
      </w:r>
    </w:p>
    <w:p>
      <w:pPr>
        <w:spacing w:after="140" w:before="260"/>
      </w:pPr>
      <w:r>
        <w:t xml:space="preserve">ARTICLE 7 – CONDITIONS FINANCIÈRES</w:t>
      </w:r>
    </w:p>
    <w:p>
      <w:pPr>
        <w:spacing w:after="60" w:before="100"/>
      </w:pPr>
      <w:r>
        <w:rPr>
          <w:b/>
          <w:bCs/>
        </w:rPr>
        <w:t xml:space="preserve">7.1 – Droit d’entrée [le cas échéant]</w:t>
      </w:r>
    </w:p>
    <w:p>
      <w:pPr>
        <w:spacing w:after="120"/>
        <w:jc w:val="both"/>
      </w:pPr>
      <w:r>
        <w:t xml:space="preserve">À la signature du Contrat, le Revendeur verse un droit d’entrée forfaitaire et non remboursable de [montant] euros HT, en contrepartie de la mise à disposition initiale, du paramétrage et de la formation prévus en Annexe 1.</w:t>
      </w:r>
    </w:p>
    <w:p>
      <w:pPr>
        <w:spacing w:after="60" w:before="100"/>
      </w:pPr>
      <w:r>
        <w:rPr>
          <w:b/>
          <w:bCs/>
        </w:rPr>
        <w:t xml:space="preserve">7.2 – Redevance proportionnelle (20 % du chiffre d’affaires)</w:t>
      </w:r>
    </w:p>
    <w:p>
      <w:pPr>
        <w:spacing w:after="120"/>
        <w:jc w:val="both"/>
      </w:pPr>
      <w:r>
        <w:t xml:space="preserve">En contrepartie de la licence et du droit de distribution, le Revendeur verse au Concédant une Redevance égale à </w:t>
      </w:r>
      <w:r>
        <w:rPr>
          <w:b/>
          <w:bCs/>
        </w:rPr>
        <w:t xml:space="preserve">vingt pour cent (20 %)</w:t>
      </w:r>
      <w:r>
        <w:t xml:space="preserve"> du Chiffre d’affaires hors taxes qu’il réalise au titre de l’exploitation de l’Outil (abonnements, licences, droits d’accès et prestations directement liées à l’Outil vendus aux Clients finaux).</w:t>
      </w:r>
    </w:p>
    <w:p>
      <w:pPr>
        <w:spacing w:after="60" w:before="100"/>
      </w:pPr>
      <w:r>
        <w:rPr>
          <w:b/>
          <w:bCs/>
        </w:rPr>
        <w:t xml:space="preserve">7.3 – Assiette de la Redevance</w:t>
      </w:r>
    </w:p>
    <w:p>
      <w:pPr>
        <w:spacing w:after="120"/>
        <w:jc w:val="both"/>
      </w:pPr>
      <w:r>
        <w:t xml:space="preserve">Le Chiffre d’affaires s’entend des sommes HT effectivement encaissées par le Revendeur au titre de l’Outil, déduction faite des remboursements et avoirs réellement consentis. Il exclut les taxes (TVA notamment). [Préciser le cas échéant si les prestations annexes du Revendeur – formation présentielle, conseil – sont incluses ou exclues de l’assiette.]</w:t>
      </w:r>
    </w:p>
    <w:p>
      <w:pPr>
        <w:spacing w:after="60" w:before="100"/>
      </w:pPr>
      <w:r>
        <w:rPr>
          <w:b/>
          <w:bCs/>
        </w:rPr>
        <w:t xml:space="preserve">7.4 – Déclaration et reporting</w:t>
      </w:r>
    </w:p>
    <w:p>
      <w:pPr>
        <w:spacing w:after="120"/>
        <w:jc w:val="both"/>
      </w:pPr>
      <w:r>
        <w:t xml:space="preserve">Dans les [15] jours suivant la fin de chaque trimestre civil, le Revendeur transmet au Concédant un état détaillé du Chiffre d’affaires réalisé (selon le modèle figurant en Annexe 3), accompagné des justificatifs utiles (nombre de Clients finaux, d’Utilisateurs, montants facturés et encaissés).</w:t>
      </w:r>
    </w:p>
    <w:p>
      <w:pPr>
        <w:spacing w:after="60" w:before="100"/>
      </w:pPr>
      <w:r>
        <w:rPr>
          <w:b/>
          <w:bCs/>
        </w:rPr>
        <w:t xml:space="preserve">7.5 – Facturation et paiement</w:t>
      </w:r>
    </w:p>
    <w:p>
      <w:pPr>
        <w:spacing w:after="120"/>
        <w:jc w:val="both"/>
      </w:pPr>
      <w:r>
        <w:t xml:space="preserve">Au vu de la déclaration, le Concédant émet une facture correspondant à la Redevance, payable à [30] jours date de facture, par virement. La prestation de maintenance fait l’objet d’un forfait de [montant] euros HT par [mois / an], facturé [d’avance], révisable annuellement [selon la dernière variation de l’indice Syntec].</w:t>
      </w:r>
    </w:p>
    <w:p>
      <w:pPr>
        <w:spacing w:after="60" w:before="100"/>
      </w:pPr>
      <w:r>
        <w:rPr>
          <w:b/>
          <w:bCs/>
        </w:rPr>
        <w:t xml:space="preserve">7.6 – Redevance minimale garantie [le cas échéant]</w:t>
      </w:r>
    </w:p>
    <w:p>
      <w:pPr>
        <w:spacing w:after="120"/>
        <w:jc w:val="both"/>
      </w:pPr>
      <w:r>
        <w:t xml:space="preserve">En cas d’exclusivité, le Revendeur garantit au Concédant une Redevance minimale annuelle de [montant] euros HT, le différentiel éventuel restant dû au titre de l’année considérée.</w:t>
      </w:r>
    </w:p>
    <w:p>
      <w:pPr>
        <w:spacing w:after="60" w:before="100"/>
      </w:pPr>
      <w:r>
        <w:rPr>
          <w:b/>
          <w:bCs/>
        </w:rPr>
        <w:t xml:space="preserve">7.7 – Audit</w:t>
      </w:r>
    </w:p>
    <w:p>
      <w:pPr>
        <w:spacing w:after="120"/>
        <w:jc w:val="both"/>
      </w:pPr>
      <w:r>
        <w:t xml:space="preserve">Le Concédant peut, [une fois par an] et moyennant un préavis raisonnable, faire vérifier l’exactitude des déclarations par un expert-comptable indépendant tenu à la confidentialité. En cas d’écart supérieur à [5] % en défaveur du Concédant, le Revendeur régularise les sommes dues, majorées des intérêts de retard, et supporte le coût de l’audit.</w:t>
      </w:r>
    </w:p>
    <w:p>
      <w:pPr>
        <w:spacing w:after="60" w:before="100"/>
      </w:pPr>
      <w:r>
        <w:rPr>
          <w:b/>
          <w:bCs/>
        </w:rPr>
        <w:t xml:space="preserve">7.8 – Retard de paiement</w:t>
      </w:r>
    </w:p>
    <w:p>
      <w:pPr>
        <w:spacing w:after="120"/>
        <w:jc w:val="both"/>
      </w:pPr>
      <w:r>
        <w:t xml:space="preserve">Tout retard de paiement entraîne de plein droit l’application d’intérêts de retard au taux de [taux – ex. : taux BCE majoré de 10 points], ainsi qu’une indemnité forfaitaire pour frais de recouvrement de 40 euros (article L. 441-10 du Code de commerce), sans préjudice du droit du Concédant de suspendre l’accès à l’Outil après mise en demeure restée infructueuse pendant [15] jours.</w:t>
      </w:r>
    </w:p>
    <w:p>
      <w:pPr>
        <w:spacing w:after="140" w:before="260"/>
      </w:pPr>
      <w:r>
        <w:t xml:space="preserve">ARTICLE 8 – OBLIGATIONS DU REVENDEUR</w:t>
      </w:r>
    </w:p>
    <w:p>
      <w:pPr>
        <w:pStyle w:val="ListParagraph"/>
        <w:numPr>
          <w:ilvl w:val="0"/>
          <w:numId w:val="2"/>
        </w:numPr>
        <w:spacing w:after="70"/>
        <w:jc w:val="both"/>
      </w:pPr>
      <w:r>
        <w:t xml:space="preserve">commercialiser l’Outil de manière loyale et conforme à son image, sans dénigrement ni promesse excédant les caractéristiques de l’Outil ;</w:t>
      </w:r>
    </w:p>
    <w:p>
      <w:pPr>
        <w:pStyle w:val="ListParagraph"/>
        <w:numPr>
          <w:ilvl w:val="0"/>
          <w:numId w:val="2"/>
        </w:numPr>
        <w:spacing w:after="70"/>
        <w:jc w:val="both"/>
      </w:pPr>
      <w:r>
        <w:t xml:space="preserve">conclure avec chaque Client final un contrat écrit comportant des conditions d’utilisation et de protection des droits au moins aussi protectrices que le Contrat ;</w:t>
      </w:r>
    </w:p>
    <w:p>
      <w:pPr>
        <w:pStyle w:val="ListParagraph"/>
        <w:numPr>
          <w:ilvl w:val="0"/>
          <w:numId w:val="2"/>
        </w:numPr>
        <w:spacing w:after="70"/>
        <w:jc w:val="both"/>
      </w:pPr>
      <w:r>
        <w:t xml:space="preserve">assurer le premier niveau de relation commerciale avec les Clients finaux et relayer au Concédant les demandes de support de niveau supérieur ;</w:t>
      </w:r>
    </w:p>
    <w:p>
      <w:pPr>
        <w:pStyle w:val="ListParagraph"/>
        <w:numPr>
          <w:ilvl w:val="0"/>
          <w:numId w:val="2"/>
        </w:numPr>
        <w:spacing w:after="70"/>
        <w:jc w:val="both"/>
      </w:pPr>
      <w:r>
        <w:t xml:space="preserve">respecter et faire respecter les restrictions de l’Article 3 et la réglementation applicable, notamment en matière de protection des données ;</w:t>
      </w:r>
    </w:p>
    <w:p>
      <w:pPr>
        <w:pStyle w:val="ListParagraph"/>
        <w:numPr>
          <w:ilvl w:val="0"/>
          <w:numId w:val="2"/>
        </w:numPr>
        <w:spacing w:after="70"/>
        <w:jc w:val="both"/>
      </w:pPr>
      <w:r>
        <w:t xml:space="preserve">ne pas porter atteinte aux droits de propriété intellectuelle du Concédant ;</w:t>
      </w:r>
    </w:p>
    <w:p>
      <w:pPr>
        <w:pStyle w:val="ListParagraph"/>
        <w:numPr>
          <w:ilvl w:val="0"/>
          <w:numId w:val="2"/>
        </w:numPr>
        <w:spacing w:after="70"/>
        <w:jc w:val="both"/>
      </w:pPr>
      <w:r>
        <w:t xml:space="preserve">transmettre les déclarations de Chiffre d’affaires et régler les sommes dues aux échéances.</w:t>
      </w:r>
    </w:p>
    <w:p>
      <w:pPr>
        <w:spacing w:after="140" w:before="260"/>
      </w:pPr>
      <w:r>
        <w:t xml:space="preserve">ARTICLE 9 – OBLIGATIONS DU CONCÉDANT</w:t>
      </w:r>
    </w:p>
    <w:p>
      <w:pPr>
        <w:pStyle w:val="ListParagraph"/>
        <w:numPr>
          <w:ilvl w:val="0"/>
          <w:numId w:val="2"/>
        </w:numPr>
        <w:spacing w:after="70"/>
        <w:jc w:val="both"/>
      </w:pPr>
      <w:r>
        <w:t xml:space="preserve">mettre l’Outil et la Documentation à disposition du Revendeur dans un état conforme à l’Annexe 1 ;</w:t>
      </w:r>
    </w:p>
    <w:p>
      <w:pPr>
        <w:pStyle w:val="ListParagraph"/>
        <w:numPr>
          <w:ilvl w:val="0"/>
          <w:numId w:val="2"/>
        </w:numPr>
        <w:spacing w:after="70"/>
        <w:jc w:val="both"/>
      </w:pPr>
      <w:r>
        <w:t xml:space="preserve">assurer la maintenance et le support dans les conditions des Articles 6 et de l’Annexe 2 ;</w:t>
      </w:r>
    </w:p>
    <w:p>
      <w:pPr>
        <w:pStyle w:val="ListParagraph"/>
        <w:numPr>
          <w:ilvl w:val="0"/>
          <w:numId w:val="2"/>
        </w:numPr>
        <w:spacing w:after="70"/>
        <w:jc w:val="both"/>
      </w:pPr>
      <w:r>
        <w:t xml:space="preserve">fournir au Revendeur les éléments d’information et de formation raisonnablement nécessaires à la commercialisation ;</w:t>
      </w:r>
    </w:p>
    <w:p>
      <w:pPr>
        <w:pStyle w:val="ListParagraph"/>
        <w:numPr>
          <w:ilvl w:val="0"/>
          <w:numId w:val="2"/>
        </w:numPr>
        <w:spacing w:after="70"/>
        <w:jc w:val="both"/>
      </w:pPr>
      <w:r>
        <w:t xml:space="preserve">informer le Revendeur des évolutions majeures de l’Outil ou de l’Infrastructure susceptibles d’affecter les Clients finaux.</w:t>
      </w:r>
    </w:p>
    <w:p>
      <w:pPr>
        <w:spacing w:after="140" w:before="260"/>
      </w:pPr>
      <w:r>
        <w:t xml:space="preserve">ARTICLE 10 – DONNÉES À CARACTÈRE PERSONNEL (RGPD)</w:t>
      </w:r>
    </w:p>
    <w:p>
      <w:pPr>
        <w:spacing w:after="120"/>
        <w:jc w:val="both"/>
      </w:pPr>
      <w:r>
        <w:t xml:space="preserve">Les Parties s’engagent à respecter le Règlement (UE) 2016/679 (« RGPD ») et la loi « Informatique et Libertés ».</w:t>
      </w:r>
    </w:p>
    <w:p>
      <w:pPr>
        <w:spacing w:after="120"/>
        <w:jc w:val="both"/>
      </w:pPr>
      <w:r>
        <w:t xml:space="preserve">Au regard des traitements réalisés au moyen de l’Outil, les Parties conviennent que, sauf stipulation contraire, le Client final agit en qualité de responsable de traitement, le Revendeur et le Concédant agissant respectivement en qualité de sous-traitant et de sous-traitant ultérieur. Les obligations correspondantes (article 28 du RGPD) figurent dans l’accord de traitement des données (« DPA ») en Annexe 4.</w:t>
      </w:r>
    </w:p>
    <w:p>
      <w:pPr>
        <w:spacing w:after="120"/>
        <w:jc w:val="both"/>
      </w:pPr>
      <w:r>
        <w:t xml:space="preserve">Les Données sont hébergées dans l’Union européenne. Le Revendeur est informé et accepte le recours aux sous-traitants ultérieurs listés en Annexe 4 (notamment Lovable AB pour Lovable Cloud, Supabase Inc. pour l’infrastructure de base de données, et, le cas échéant, le fournisseur du service de coach IA). Tout transfert de Données hors de l’Union européenne, notamment au titre du service d’intelligence artificielle, est encadré par des garanties appropriées (clauses contractuelles types ou mécanisme équivalent).</w:t>
      </w:r>
    </w:p>
    <w:p>
      <w:pPr>
        <w:spacing w:after="120"/>
        <w:jc w:val="both"/>
      </w:pPr>
      <w:r>
        <w:t xml:space="preserve">Chaque Partie met en œuvre des mesures techniques et organisationnelles appropriées et notifie sans délai à l’autre toute violation de données la concernant.</w:t>
      </w:r>
    </w:p>
    <w:p>
      <w:pPr>
        <w:spacing w:after="140" w:before="260"/>
      </w:pPr>
      <w:r>
        <w:t xml:space="preserve">ARTICLE 11 – GARANTIES</w:t>
      </w:r>
    </w:p>
    <w:p>
      <w:pPr>
        <w:spacing w:after="120"/>
        <w:jc w:val="both"/>
      </w:pPr>
      <w:r>
        <w:t xml:space="preserve">Le Concédant garantit qu’il détient les droits nécessaires pour concéder la licence objet du Contrat et assure au Revendeur une jouissance paisible de l’Outil au regard des droits de propriété intellectuelle de tiers. En cas d’action d’un tiers de ce chef, le Concédant pourra, à son choix, obtenir le droit de poursuivre l’exploitation, modifier ou remplacer l’élément litigieux, ou résilier le Contrat.</w:t>
      </w:r>
    </w:p>
    <w:p>
      <w:pPr>
        <w:spacing w:after="120"/>
        <w:jc w:val="both"/>
      </w:pPr>
      <w:r>
        <w:t xml:space="preserve">L’Outil est fourni « en l’état » ; le Concédant ne garantit pas qu’il répondra à tous les besoins spécifiques du Revendeur ou des Clients finaux, ni un fonctionnement totalement ininterrompu ou exempt d’erreur, l’Outil reposant sur une Infrastructure tierce et, le cas échéant, sur des résultats générés par intelligence artificielle présentés à titre indicatif et pédagogique.</w:t>
      </w:r>
    </w:p>
    <w:p>
      <w:pPr>
        <w:spacing w:after="140" w:before="260"/>
      </w:pPr>
      <w:r>
        <w:t xml:space="preserve">ARTICLE 12 – RESPONSABILITÉ</w:t>
      </w:r>
    </w:p>
    <w:p>
      <w:pPr>
        <w:spacing w:after="120"/>
        <w:jc w:val="both"/>
      </w:pPr>
      <w:r>
        <w:t xml:space="preserve">Chaque Partie est responsable des dommages directs causés à l’autre du fait d’un manquement à ses obligations. Sont exclus les dommages indirects (perte de chiffre d’affaires, de clientèle, de données, atteinte à l’image).</w:t>
      </w:r>
    </w:p>
    <w:p>
      <w:pPr>
        <w:spacing w:after="120"/>
        <w:jc w:val="both"/>
      </w:pPr>
      <w:r>
        <w:t xml:space="preserve">Sauf faute lourde ou dolosive et sauf au titre de l’obligation de paiement, la responsabilité cumulée du Concédant au titre du Contrat est limitée au montant total des sommes perçues par lui au titre des [12] derniers mois précédant le fait générateur.</w:t>
      </w:r>
    </w:p>
    <w:p>
      <w:pPr>
        <w:spacing w:after="140" w:before="260"/>
      </w:pPr>
      <w:r>
        <w:t xml:space="preserve">ARTICLE 13 – ASSURANCE</w:t>
      </w:r>
    </w:p>
    <w:p>
      <w:pPr>
        <w:spacing w:after="120"/>
        <w:jc w:val="both"/>
      </w:pPr>
      <w:r>
        <w:t xml:space="preserve">Chaque Partie déclare être titulaire d’une assurance de responsabilité civile professionnelle couvrant les conséquences pécuniaires de sa responsabilité, et s’engage à la maintenir pendant toute la durée du Contrat.</w:t>
      </w:r>
    </w:p>
    <w:p>
      <w:pPr>
        <w:spacing w:after="140" w:before="260"/>
      </w:pPr>
      <w:r>
        <w:t xml:space="preserve">ARTICLE 14 – CONFIDENTIALITÉ</w:t>
      </w:r>
    </w:p>
    <w:p>
      <w:pPr>
        <w:spacing w:after="120"/>
        <w:jc w:val="both"/>
      </w:pPr>
      <w:r>
        <w:t xml:space="preserve">Chaque Partie s’engage à conserver confidentielles les informations non publiques reçues de l’autre (notamment commerciales, techniques et financières), à ne les utiliser que pour l’exécution du Contrat et à ne les divulguer qu’aux personnes ayant besoin d’en connaître. Cette obligation perdure [3] ans après la fin du Contrat.</w:t>
      </w:r>
    </w:p>
    <w:p>
      <w:pPr>
        <w:spacing w:after="140" w:before="260"/>
      </w:pPr>
      <w:r>
        <w:t xml:space="preserve">ARTICLE 15 – DURÉE ET RENOUVELLEMENT</w:t>
      </w:r>
    </w:p>
    <w:p>
      <w:pPr>
        <w:spacing w:after="120"/>
        <w:jc w:val="both"/>
      </w:pPr>
      <w:r>
        <w:t xml:space="preserve">Le Contrat entre en vigueur à sa date de signature pour une durée initiale de [12 / 24 / 36] mois. Il se renouvelle ensuite par périodes successives de [12] mois par tacite reconduction, sauf dénonciation par l’une des Parties par lettre recommandée avec accusé de réception moyennant un préavis de [3] mois avant l’échéance.</w:t>
      </w:r>
    </w:p>
    <w:p>
      <w:pPr>
        <w:spacing w:after="140" w:before="260"/>
      </w:pPr>
      <w:r>
        <w:t xml:space="preserve">ARTICLE 16 – RÉSILIATION</w:t>
      </w:r>
    </w:p>
    <w:p>
      <w:pPr>
        <w:spacing w:after="120"/>
        <w:jc w:val="both"/>
      </w:pPr>
      <w:r>
        <w:t xml:space="preserve">En cas de manquement grave de l’une des Parties à ses obligations, non réparé dans un délai de [30] jours après mise en demeure restée infructueuse, l’autre Partie pourra résilier le Contrat de plein droit, sans préjudice de tous dommages et intérêts. Constituent notamment des manquements graves : le défaut de paiement des sommes dues, l’atteinte aux droits de propriété intellectuelle et le non-respect des restrictions de l’Article 3.</w:t>
      </w:r>
    </w:p>
    <w:p>
      <w:pPr>
        <w:spacing w:after="120"/>
        <w:jc w:val="both"/>
      </w:pPr>
      <w:r>
        <w:t xml:space="preserve">Le Contrat pourra être résilié de plein droit en cas de procédure collective de l’une des Parties, dans les limites de l’ordre public.</w:t>
      </w:r>
    </w:p>
    <w:p>
      <w:pPr>
        <w:spacing w:after="140" w:before="260"/>
      </w:pPr>
      <w:r>
        <w:t xml:space="preserve">ARTICLE 17 – CONSÉQUENCES DE LA CESSATION</w:t>
      </w:r>
    </w:p>
    <w:p>
      <w:pPr>
        <w:spacing w:after="120"/>
        <w:jc w:val="both"/>
      </w:pPr>
      <w:r>
        <w:t xml:space="preserve">À la cessation du Contrat, pour quelque cause que ce soit : (i) le Revendeur cesse toute commercialisation et tout usage de l’Outil ; (ii) les sommes dues deviennent immédiatement exigibles ; (iii) les Parties conviennent du sort des contrats des Clients finaux en cours [reprise par le Concédant / extinction à l’échéance – option à préciser], dans le respect des droits des Clients finaux.</w:t>
      </w:r>
    </w:p>
    <w:p>
      <w:pPr>
        <w:spacing w:after="120"/>
        <w:jc w:val="both"/>
      </w:pPr>
      <w:r>
        <w:t xml:space="preserve">Réversibilité : le Concédant met à disposition, dans un délai de [30] jours, un export des Données des Clients finaux dans un format structuré et couramment utilisé, puis procède à leur suppression dans un délai de [60] jours, sauf obligation légale de conservation, conformément à l’Annexe 4. Les Parties tiennent compte des contraintes techniques propres à l’Infrastructure (Article 5).</w:t>
      </w:r>
    </w:p>
    <w:p>
      <w:pPr>
        <w:spacing w:after="140" w:before="260"/>
      </w:pPr>
      <w:r>
        <w:t xml:space="preserve">ARTICLE 18 – FORCE MAJEURE</w:t>
      </w:r>
    </w:p>
    <w:p>
      <w:pPr>
        <w:spacing w:after="120"/>
        <w:jc w:val="both"/>
      </w:pPr>
      <w:r>
        <w:t xml:space="preserve">Aucune Partie ne pourra être tenue responsable d’un manquement résultant d’un cas de force majeure au sens de l’article 1218 du Code civil et de la jurisprudence. La Partie empêchée en informe l’autre sans délai ; si l’empêchement persiste au-delà de [60] jours, chaque Partie pourra résilier le Contrat sans indemnité.</w:t>
      </w:r>
    </w:p>
    <w:p>
      <w:pPr>
        <w:spacing w:after="140" w:before="260"/>
      </w:pPr>
      <w:r>
        <w:t xml:space="preserve">ARTICLE 19 – NON-SOLLICITATION [le cas échéant]</w:t>
      </w:r>
    </w:p>
    <w:p>
      <w:pPr>
        <w:spacing w:after="120"/>
        <w:jc w:val="both"/>
      </w:pPr>
      <w:r>
        <w:t xml:space="preserve">Pendant la durée du Contrat et [12] mois après son terme, chaque Partie s’interdit de solliciter ou débaucher le personnel de l’autre ayant participé à son exécution, sauf accord écrit préalable.</w:t>
      </w:r>
    </w:p>
    <w:p>
      <w:pPr>
        <w:spacing w:after="140" w:before="260"/>
      </w:pPr>
      <w:r>
        <w:t xml:space="preserve">ARTICLE 20 – CESSION ET SOUS-TRAITANCE</w:t>
      </w:r>
    </w:p>
    <w:p>
      <w:pPr>
        <w:spacing w:after="120"/>
        <w:jc w:val="both"/>
      </w:pPr>
      <w:r>
        <w:t xml:space="preserve">Le Contrat est conclu intuitu personae à l’égard du Revendeur. Le Revendeur ne pourra céder ou transférer le Contrat sans accord écrit préalable du Concédant. Le Concédant pourra recourir à des sous-traitants pour l’exécution de ses prestations, en demeurant responsable de leur intervention.</w:t>
      </w:r>
    </w:p>
    <w:p>
      <w:pPr>
        <w:spacing w:after="140" w:before="260"/>
      </w:pPr>
      <w:r>
        <w:t xml:space="preserve">ARTICLE 21 – DISPOSITIONS GÉNÉRALES</w:t>
      </w:r>
    </w:p>
    <w:p>
      <w:pPr>
        <w:spacing w:after="120"/>
        <w:jc w:val="both"/>
      </w:pPr>
      <w:r>
        <w:t xml:space="preserve">Intégralité : le Contrat et ses annexes expriment l’intégralité de l’accord des Parties et annulent tout accord antérieur de même objet. En cas de contradiction, le corps du Contrat prévaut sur les annexes, sauf stipulation expresse contraire.</w:t>
      </w:r>
    </w:p>
    <w:p>
      <w:pPr>
        <w:spacing w:after="120"/>
        <w:jc w:val="both"/>
      </w:pPr>
      <w:r>
        <w:t xml:space="preserve">Modification : toute modification fait l’objet d’un avenant écrit signé des deux Parties.</w:t>
      </w:r>
    </w:p>
    <w:p>
      <w:pPr>
        <w:spacing w:after="120"/>
        <w:jc w:val="both"/>
      </w:pPr>
      <w:r>
        <w:t xml:space="preserve">Nullité partielle : si une stipulation est jugée nulle ou inapplicable, les autres stipulations conservent leur plein effet.</w:t>
      </w:r>
    </w:p>
    <w:p>
      <w:pPr>
        <w:spacing w:after="120"/>
        <w:jc w:val="both"/>
      </w:pPr>
      <w:r>
        <w:t xml:space="preserve">Renonciation : le fait pour une Partie de ne pas se prévaloir d’un manquement ne vaut pas renonciation à s’en prévaloir ultérieurement.</w:t>
      </w:r>
    </w:p>
    <w:p>
      <w:pPr>
        <w:spacing w:after="120"/>
        <w:jc w:val="both"/>
      </w:pPr>
      <w:r>
        <w:t xml:space="preserve">Notifications : toute notification est valablement effectuée par lettre recommandée avec accusé de réception ou par courriel avec accusé de réception aux adresses figurant en tête du Contrat.</w:t>
      </w:r>
    </w:p>
    <w:p>
      <w:pPr>
        <w:spacing w:after="140" w:before="260"/>
      </w:pPr>
      <w:r>
        <w:t xml:space="preserve">ARTICLE 22 – DROIT APPLICABLE ET JURIDICTION</w:t>
      </w:r>
    </w:p>
    <w:p>
      <w:pPr>
        <w:spacing w:after="120"/>
        <w:jc w:val="both"/>
      </w:pPr>
      <w:r>
        <w:t xml:space="preserve">Le Contrat est soumis au droit français. À défaut de résolution amiable dans un délai de [30] jours à compter de la notification d’un différend, tout litige relatif à sa formation, son interprétation, son exécution ou sa cessation sera soumis à la compétence exclusive du Tribunal de commerce de [Bordeaux / ressort à préciser], nonobstant pluralité de défendeurs ou appel en garantie.</w:t>
      </w:r>
    </w:p>
    <w:p>
      <w:pPr>
        <w:spacing w:after="120" w:before="280"/>
      </w:pPr>
      <w:r>
        <w:t xml:space="preserve">SIGNATURES</w:t>
      </w:r>
    </w:p>
    <w:p>
      <w:pPr>
        <w:spacing w:after="120"/>
        <w:jc w:val="both"/>
      </w:pPr>
      <w:r>
        <w:t xml:space="preserve">Fait à ______________________, le ____ / ____ / ________, en deux (2) exemplaires originaux.</w:t>
      </w:r>
    </w:p>
    <w:p>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left w:val="none"/>
              <w:bottom w:val="none"/>
              <w:right w:val="none"/>
            </w:tcBorders>
            <w:tcMar>
              <w:top w:type="dxa" w:w="80"/>
              <w:left w:type="dxa" w:w="120"/>
              <w:bottom w:type="dxa" w:w="80"/>
              <w:right w:type="dxa" w:w="120"/>
            </w:tcMar>
          </w:tcPr>
          <w:p>
            <w:pPr>
              <w:spacing w:after="60"/>
            </w:pPr>
            <w:r>
              <w:rPr>
                <w:b/>
                <w:bCs/>
              </w:rPr>
              <w:t xml:space="preserve">Pour le Concédant</w:t>
            </w:r>
          </w:p>
          <w:p>
            <w:pPr>
              <w:spacing w:after="40"/>
            </w:pPr>
            <w:r>
              <w:t xml:space="preserve">Nom : ____________________________</w:t>
            </w:r>
          </w:p>
          <w:p>
            <w:pPr>
              <w:spacing w:after="40"/>
            </w:pPr>
            <w:r>
              <w:t xml:space="preserve">Qualité : _________________________</w:t>
            </w:r>
          </w:p>
          <w:p>
            <w:pPr>
              <w:spacing w:after="160"/>
            </w:pPr>
            <w:r>
              <w:t xml:space="preserve">Date : ___________________________</w:t>
            </w:r>
          </w:p>
          <w:p>
            <w:pPr>
              <w:spacing w:after="40"/>
            </w:pPr>
            <w:r>
              <w:t xml:space="preserve">Signature</w:t>
            </w:r>
          </w:p>
          <w:p>
            <w:r>
              <w:rPr>
                <w:i/>
                <w:iCs/>
                <w:sz w:val="18"/>
                <w:szCs w:val="18"/>
              </w:rPr>
              <w:t xml:space="preserve">(précédée de la mention « Lu et approuvé »)</w:t>
            </w:r>
          </w:p>
        </w:tc>
        <w:tc>
          <w:tcPr>
            <w:tcW w:type="dxa" w:w="4535"/>
            <w:tcBorders>
              <w:top w:val="none"/>
              <w:left w:val="none"/>
              <w:bottom w:val="none"/>
              <w:right w:val="none"/>
            </w:tcBorders>
            <w:tcMar>
              <w:top w:type="dxa" w:w="80"/>
              <w:left w:type="dxa" w:w="120"/>
              <w:bottom w:type="dxa" w:w="80"/>
              <w:right w:type="dxa" w:w="120"/>
            </w:tcMar>
          </w:tcPr>
          <w:p>
            <w:pPr>
              <w:spacing w:after="60"/>
            </w:pPr>
            <w:r>
              <w:rPr>
                <w:b/>
                <w:bCs/>
              </w:rPr>
              <w:t xml:space="preserve">Pour le Revendeur</w:t>
            </w:r>
          </w:p>
          <w:p>
            <w:pPr>
              <w:spacing w:after="40"/>
            </w:pPr>
            <w:r>
              <w:t xml:space="preserve">Nom : ____________________________</w:t>
            </w:r>
          </w:p>
          <w:p>
            <w:pPr>
              <w:spacing w:after="40"/>
            </w:pPr>
            <w:r>
              <w:t xml:space="preserve">Qualité : _________________________</w:t>
            </w:r>
          </w:p>
          <w:p>
            <w:pPr>
              <w:spacing w:after="160"/>
            </w:pPr>
            <w:r>
              <w:t xml:space="preserve">Date : ___________________________</w:t>
            </w:r>
          </w:p>
          <w:p>
            <w:pPr>
              <w:spacing w:after="40"/>
            </w:pPr>
            <w:r>
              <w:t xml:space="preserve">Signature</w:t>
            </w:r>
          </w:p>
          <w:p>
            <w:r>
              <w:rPr>
                <w:i/>
                <w:iCs/>
                <w:sz w:val="18"/>
                <w:szCs w:val="18"/>
              </w:rPr>
              <w:t xml:space="preserve">(précédée de la mention « Lu et approuvé »)</w:t>
            </w:r>
          </w:p>
        </w:tc>
      </w:tr>
    </w:tbl>
    <w:p>
      <w:pPr>
        <w:spacing w:after="120" w:before="320"/>
      </w:pPr>
      <w:r>
        <w:t xml:space="preserve">ANNEXE 1 – DESCRIPTION DE L’OUTIL ET PÉRIMÈTRE</w:t>
      </w:r>
    </w:p>
    <w:p>
      <w:pPr>
        <w:pStyle w:val="ListParagraph"/>
        <w:numPr>
          <w:ilvl w:val="0"/>
          <w:numId w:val="2"/>
        </w:numPr>
        <w:spacing w:after="70"/>
        <w:jc w:val="both"/>
      </w:pPr>
      <w:r>
        <w:t xml:space="preserve">Désignation et version de l’Outil ; fonctionnalités (scénarios, coach IA, scoring, modes de réponse, mode groupe, créateur de missions, tableau de bord, export, compatibilité SCORM/LMS) ;</w:t>
      </w:r>
    </w:p>
    <w:p>
      <w:pPr>
        <w:pStyle w:val="ListParagraph"/>
        <w:numPr>
          <w:ilvl w:val="0"/>
          <w:numId w:val="2"/>
        </w:numPr>
        <w:spacing w:after="70"/>
        <w:jc w:val="both"/>
      </w:pPr>
      <w:r>
        <w:t xml:space="preserve">périmètre de la mise à disposition initiale, du paramétrage et de la formation ;</w:t>
      </w:r>
    </w:p>
    <w:p>
      <w:pPr>
        <w:pStyle w:val="ListParagraph"/>
        <w:numPr>
          <w:ilvl w:val="0"/>
          <w:numId w:val="2"/>
        </w:numPr>
        <w:spacing w:after="70"/>
        <w:jc w:val="both"/>
      </w:pPr>
      <w:r>
        <w:t xml:space="preserve">limites d’usage (volumes, nombre d’Utilisateurs, etc.) le cas échéant.</w:t>
      </w:r>
    </w:p>
    <w:p>
      <w:pPr>
        <w:spacing w:after="120" w:before="240"/>
      </w:pPr>
      <w:r>
        <w:t xml:space="preserve">ANNEXE 2 – MAINTENANCE ET NIVEAUX DE SERVICE (SLA)</w:t>
      </w:r>
    </w:p>
    <w:p>
      <w:pPr>
        <w:pStyle w:val="ListParagraph"/>
        <w:numPr>
          <w:ilvl w:val="0"/>
          <w:numId w:val="2"/>
        </w:numPr>
        <w:spacing w:after="70"/>
        <w:jc w:val="both"/>
      </w:pPr>
      <w:r>
        <w:t xml:space="preserve">Disponibilité cible (ex. : [99] % par mois, hors maintenance programmée) ;</w:t>
      </w:r>
    </w:p>
    <w:p>
      <w:pPr>
        <w:pStyle w:val="ListParagraph"/>
        <w:numPr>
          <w:ilvl w:val="0"/>
          <w:numId w:val="2"/>
        </w:numPr>
        <w:spacing w:after="70"/>
        <w:jc w:val="both"/>
      </w:pPr>
      <w:r>
        <w:t xml:space="preserve">plages et canaux de support (ex. : jours ouvrés [9h–18h], par courriel) ;</w:t>
      </w:r>
    </w:p>
    <w:p>
      <w:pPr>
        <w:pStyle w:val="ListParagraph"/>
        <w:numPr>
          <w:ilvl w:val="0"/>
          <w:numId w:val="2"/>
        </w:numPr>
        <w:spacing w:after="70"/>
        <w:jc w:val="both"/>
      </w:pPr>
      <w:r>
        <w:t xml:space="preserve">classification des anomalies (bloquante / majeure / mineure) et délais de prise en charge et de rétablissement associés ;</w:t>
      </w:r>
    </w:p>
    <w:p>
      <w:pPr>
        <w:pStyle w:val="ListParagraph"/>
        <w:numPr>
          <w:ilvl w:val="0"/>
          <w:numId w:val="2"/>
        </w:numPr>
        <w:spacing w:after="70"/>
        <w:jc w:val="both"/>
      </w:pPr>
      <w:r>
        <w:t xml:space="preserve">modalités des maintenances programmées et d’information préalable.</w:t>
      </w:r>
    </w:p>
    <w:p>
      <w:pPr>
        <w:spacing w:after="120" w:before="240"/>
      </w:pPr>
      <w:r>
        <w:t xml:space="preserve">ANNEXE 3 – CONDITIONS FINANCIÈRES ET MODÈLE DE DÉCLARATION</w:t>
      </w:r>
    </w:p>
    <w:p>
      <w:pPr>
        <w:pStyle w:val="ListParagraph"/>
        <w:numPr>
          <w:ilvl w:val="0"/>
          <w:numId w:val="2"/>
        </w:numPr>
        <w:spacing w:after="70"/>
        <w:jc w:val="both"/>
      </w:pPr>
      <w:r>
        <w:t xml:space="preserve">Droit d’entrée [montant], forfait de maintenance [montant et périodicité], règles de révision ;</w:t>
      </w:r>
    </w:p>
    <w:p>
      <w:pPr>
        <w:pStyle w:val="ListParagraph"/>
        <w:numPr>
          <w:ilvl w:val="0"/>
          <w:numId w:val="2"/>
        </w:numPr>
        <w:spacing w:after="70"/>
        <w:jc w:val="both"/>
      </w:pPr>
      <w:r>
        <w:t xml:space="preserve">taux de Redevance : 20 % du Chiffre d’affaires ; assiette détaillée ; éventuelle redevance minimale garantie ;</w:t>
      </w:r>
    </w:p>
    <w:p>
      <w:pPr>
        <w:pStyle w:val="ListParagraph"/>
        <w:numPr>
          <w:ilvl w:val="0"/>
          <w:numId w:val="2"/>
        </w:numPr>
        <w:spacing w:after="70"/>
        <w:jc w:val="both"/>
      </w:pPr>
      <w:r>
        <w:t xml:space="preserve">traitement des coûts d’Infrastructure et de consommation IA (inclus / refacturés).</w:t>
      </w:r>
    </w:p>
    <w:p>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870"/>
      </w:tblGrid>
      <w:tr>
        <w:trPr>
          <w:tblHeader/>
        </w:trPr>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Client final</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Utilisateurs</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CA HT encaissé (€)</w:t>
            </w:r>
          </w:p>
        </w:tc>
        <w:tc>
          <w:tcPr>
            <w:tcW w:type="dxa" w:w="187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Redevance 20 %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r>
    </w:tbl>
    <w:p>
      <w:pPr>
        <w:spacing w:before="80"/>
      </w:pPr>
      <w:r>
        <w:rPr>
          <w:sz w:val="18"/>
          <w:szCs w:val="18"/>
        </w:rPr>
        <w:t xml:space="preserve">Trimestre concerné : __________   –   Total CA HT : __________ €   –   Total Redevance : __________ €</w:t>
      </w:r>
    </w:p>
    <w:p>
      <w:pPr>
        <w:spacing w:after="120" w:before="240"/>
      </w:pPr>
      <w:r>
        <w:t xml:space="preserve">ANNEXE 4 – ACCORD DE TRAITEMENT DES DONNÉES (DPA) ET SOUS-TRAITANTS</w:t>
      </w:r>
    </w:p>
    <w:p>
      <w:pPr>
        <w:pStyle w:val="ListParagraph"/>
        <w:numPr>
          <w:ilvl w:val="0"/>
          <w:numId w:val="2"/>
        </w:numPr>
        <w:spacing w:after="70"/>
        <w:jc w:val="both"/>
      </w:pPr>
      <w:r>
        <w:t xml:space="preserve">Objet, nature et finalités des traitements ; catégories de données et de personnes concernées ; durée ;</w:t>
      </w:r>
    </w:p>
    <w:p>
      <w:pPr>
        <w:pStyle w:val="ListParagraph"/>
        <w:numPr>
          <w:ilvl w:val="0"/>
          <w:numId w:val="2"/>
        </w:numPr>
        <w:spacing w:after="70"/>
        <w:jc w:val="both"/>
      </w:pPr>
      <w:r>
        <w:t xml:space="preserve">répartition des rôles (responsable de traitement / sous-traitant / sous-traitant ultérieur) et obligations de l’article 28 du RGPD ;</w:t>
      </w:r>
    </w:p>
    <w:p>
      <w:pPr>
        <w:pStyle w:val="ListParagraph"/>
        <w:numPr>
          <w:ilvl w:val="0"/>
          <w:numId w:val="2"/>
        </w:numPr>
        <w:spacing w:after="70"/>
        <w:jc w:val="both"/>
      </w:pPr>
      <w:r>
        <w:t xml:space="preserve">localisation des Données : Union européenne ; mesures de sécurité ; gestion des violations de données ;</w:t>
      </w:r>
    </w:p>
    <w:p>
      <w:pPr>
        <w:pStyle w:val="ListParagraph"/>
        <w:numPr>
          <w:ilvl w:val="0"/>
          <w:numId w:val="2"/>
        </w:numPr>
        <w:spacing w:after="70"/>
        <w:jc w:val="both"/>
      </w:pPr>
      <w:r>
        <w:t xml:space="preserve">liste des sous-traitants ultérieurs autorisés : Lovable AB (Lovable Cloud), Supabase Inc. (infrastructure de base de données), [fournisseur du service de coach IA, le cas échéant] ;</w:t>
      </w:r>
    </w:p>
    <w:p>
      <w:pPr>
        <w:pStyle w:val="ListParagraph"/>
        <w:numPr>
          <w:ilvl w:val="0"/>
          <w:numId w:val="2"/>
        </w:numPr>
        <w:spacing w:after="70"/>
        <w:jc w:val="both"/>
      </w:pPr>
      <w:r>
        <w:t xml:space="preserve">encadrement des éventuels transferts hors UE (clauses contractuelles types ou mécanisme équivalent) ; modalités d’export et de suppression des Données (réversibilité).</w:t>
      </w:r>
    </w:p>
    <w:p>
      <w:r>
        <w:t xml:space="preserve"/>
      </w:r>
    </w:p>
    <w:p>
      <w:r>
        <w:rPr>
          <w:i/>
          <w:iCs/>
          <w:color w:val="B00000"/>
          <w:sz w:val="18"/>
          <w:szCs w:val="18"/>
        </w:rPr>
        <w:t xml:space="preserve">Avertissement : ce document est un modèle destiné à être personnalisé. Il ne constitue pas un conseil juridique. Il est vivement recommandé de le faire relire par un avocat ou un juriste avant signature.</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Priscille Sandrine – Document confidentiel – 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color w:val="888888"/>
        <w:sz w:val="16"/>
        <w:szCs w:val="16"/>
      </w:rPr>
      <w:t xml:space="preserve">Contrat de licence et de distribution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jc w:val="center"/>
    </w:pPr>
    <w:rPr>
      <w:rFonts w:ascii="Arial" w:cs="Arial" w:eastAsia="Arial" w:hAnsi="Arial"/>
      <w:b/>
      <w:bCs/>
      <w:sz w:val="34"/>
      <w:szCs w:val="34"/>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22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2026-05-30T16:40:15.516Z</dcterms:created>
  <dcterms:modified xsi:type="dcterms:W3CDTF">2026-05-30T16:40:15.517Z</dcterms:modified>
</cp:coreProperties>
</file>

<file path=docProps/custom.xml><?xml version="1.0" encoding="utf-8"?>
<Properties xmlns="http://schemas.openxmlformats.org/officeDocument/2006/custom-properties" xmlns:vt="http://schemas.openxmlformats.org/officeDocument/2006/docPropsVTypes"/>
</file>