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0A8C8"/>
          <w:sz w:val="56"/>
          <w:szCs w:val="56"/>
        </w:rPr>
        <w:t xml:space="preserve">QUESTIA</w:t>
      </w:r>
    </w:p>
    <w:p>
      <w:pPr>
        <w:spacing w:after="100"/>
        <w:jc w:val="center"/>
      </w:pPr>
      <w:r>
        <w:rPr>
          <w:b/>
          <w:bCs/>
          <w:color w:val="0A0E18"/>
          <w:sz w:val="44"/>
          <w:szCs w:val="44"/>
        </w:rPr>
        <w:t xml:space="preserve">L'IA dans l'éducation</w:t>
      </w:r>
    </w:p>
    <w:p>
      <w:pPr>
        <w:spacing w:after="1600"/>
        <w:jc w:val="center"/>
      </w:pPr>
      <w:r>
        <w:rPr>
          <w:i/>
          <w:iCs/>
          <w:color w:val="586378"/>
          <w:sz w:val="26"/>
          <w:szCs w:val="26"/>
        </w:rPr>
        <w:t xml:space="preserve">Étude d'usage chez les enseignants et responsables pédagogiques en France · 2025-2026</w:t>
      </w:r>
    </w:p>
    <w:p>
      <w:pPr>
        <w:spacing w:after="100"/>
        <w:jc w:val="center"/>
      </w:pPr>
      <w:r>
        <w:rPr>
          <w:color w:val="586378"/>
          <w:sz w:val="22"/>
          <w:szCs w:val="22"/>
        </w:rPr>
        <w:t xml:space="preserve">Document de travail · Études de marché</w:t>
      </w:r>
    </w:p>
    <w:p>
      <w:pPr>
        <w:spacing w:after="4000"/>
        <w:jc w:val="center"/>
      </w:pPr>
      <w:r>
        <w:rPr>
          <w:color w:val="586378"/>
          <w:sz w:val="22"/>
          <w:szCs w:val="22"/>
        </w:rPr>
        <w:t xml:space="preserve">Avril 2026</w:t>
      </w:r>
    </w:p>
    <w:p>
      <w:r>
        <w:br w:type="page"/>
      </w:r>
    </w:p>
    <w:p>
      <w:pPr>
        <w:pStyle w:val="Heading1"/>
        <w:pBdr>
          <w:bottom w:val="single" w:color="00A8C8" w:sz="12" w:space="4"/>
        </w:pBdr>
        <w:spacing w:after="200" w:before="360"/>
      </w:pPr>
      <w:r>
        <w:rPr>
          <w:b/>
          <w:bCs/>
          <w:color w:val="0A0E18"/>
        </w:rPr>
        <w:t xml:space="preserve">Sommaire</w:t>
      </w:r>
    </w:p>
    <w:p>
      <w:pPr>
        <w:pStyle w:val="ListParagraph"/>
        <w:numPr>
          <w:ilvl w:val="0"/>
          <w:numId w:val="2"/>
        </w:numPr>
        <w:spacing w:after="80"/>
      </w:pPr>
      <w:r>
        <w:t xml:space="preserve">1. Pourquoi cette étude</w:t>
      </w:r>
    </w:p>
    <w:p>
      <w:pPr>
        <w:pStyle w:val="ListParagraph"/>
        <w:numPr>
          <w:ilvl w:val="0"/>
          <w:numId w:val="2"/>
        </w:numPr>
        <w:spacing w:after="80"/>
      </w:pPr>
      <w:r>
        <w:t xml:space="preserve">2. Méthodologie et sources</w:t>
      </w:r>
    </w:p>
    <w:p>
      <w:pPr>
        <w:pStyle w:val="ListParagraph"/>
        <w:numPr>
          <w:ilvl w:val="0"/>
          <w:numId w:val="2"/>
        </w:numPr>
        <w:spacing w:after="80"/>
      </w:pPr>
      <w:r>
        <w:t xml:space="preserve">3. État des lieux : qui utilise l'IA, comment, pour quoi</w:t>
      </w:r>
    </w:p>
    <w:p>
      <w:pPr>
        <w:pStyle w:val="ListParagraph"/>
        <w:numPr>
          <w:ilvl w:val="0"/>
          <w:numId w:val="2"/>
        </w:numPr>
        <w:spacing w:after="80"/>
      </w:pPr>
      <w:r>
        <w:t xml:space="preserve">4. Les freins identifiés à l'adoption</w:t>
      </w:r>
    </w:p>
    <w:p>
      <w:pPr>
        <w:pStyle w:val="ListParagraph"/>
        <w:numPr>
          <w:ilvl w:val="0"/>
          <w:numId w:val="2"/>
        </w:numPr>
        <w:spacing w:after="80"/>
      </w:pPr>
      <w:r>
        <w:t xml:space="preserve">5. Le cadre réglementaire en construction</w:t>
      </w:r>
    </w:p>
    <w:p>
      <w:pPr>
        <w:pStyle w:val="ListParagraph"/>
        <w:numPr>
          <w:ilvl w:val="0"/>
          <w:numId w:val="2"/>
        </w:numPr>
        <w:spacing w:after="80"/>
      </w:pPr>
      <w:r>
        <w:t xml:space="preserve">6. Trois profils d'enseignants face à l'IA</w:t>
      </w:r>
    </w:p>
    <w:p>
      <w:pPr>
        <w:pStyle w:val="ListParagraph"/>
        <w:numPr>
          <w:ilvl w:val="0"/>
          <w:numId w:val="2"/>
        </w:numPr>
        <w:spacing w:after="80"/>
      </w:pPr>
      <w:r>
        <w:t xml:space="preserve">7. Implications stratégiques pour Questia</w:t>
      </w:r>
    </w:p>
    <w:p>
      <w:pPr>
        <w:pStyle w:val="ListParagraph"/>
        <w:numPr>
          <w:ilvl w:val="0"/>
          <w:numId w:val="2"/>
        </w:numPr>
        <w:spacing w:after="80"/>
      </w:pPr>
      <w:r>
        <w:t xml:space="preserve">8. Recommandations concrètes pour le pitch</w:t>
      </w:r>
    </w:p>
    <w:p>
      <w:pPr>
        <w:pStyle w:val="ListParagraph"/>
        <w:numPr>
          <w:ilvl w:val="0"/>
          <w:numId w:val="2"/>
        </w:numPr>
        <w:spacing w:after="80"/>
      </w:pPr>
      <w:r>
        <w:t xml:space="preserve">9. Sources</w:t>
      </w:r>
    </w:p>
    <w:p>
      <w:r>
        <w:br w:type="page"/>
      </w:r>
    </w:p>
    <w:p>
      <w:pPr>
        <w:pStyle w:val="Heading1"/>
        <w:pBdr>
          <w:bottom w:val="single" w:color="00A8C8" w:sz="12" w:space="4"/>
        </w:pBdr>
        <w:spacing w:after="200" w:before="360"/>
      </w:pPr>
      <w:r>
        <w:rPr>
          <w:b/>
          <w:bCs/>
          <w:color w:val="0A0E18"/>
        </w:rPr>
        <w:t xml:space="preserve">1. Pourquoi cette étude</w:t>
      </w:r>
    </w:p>
    <w:p>
      <w:pPr>
        <w:spacing w:after="120"/>
        <w:jc w:val="left"/>
      </w:pPr>
      <w:r>
        <w:t xml:space="preserve">Questia vend de l'IA pédagogique à des acheteurs (directions d'écoles, responsables Qualiopi, formateurs indépendants) dont la relation à l'IA est encore en construction. Vendre une simulation IA à un directeur pédagogique qui se méfie de ChatGPT est un échec assuré. Comprendre les habitudes, les freins et les attentes de ce public est donc le préalable à toute stratégie commerciale.</w:t>
      </w:r>
    </w:p>
    <w:p>
      <w:pPr>
        <w:spacing w:after="120"/>
        <w:jc w:val="left"/>
      </w:pPr>
      <w:r>
        <w:t xml:space="preserve">Cette étude documente trois questions centrales :</w:t>
      </w:r>
    </w:p>
    <w:p>
      <w:pPr>
        <w:pStyle w:val="ListParagraph"/>
        <w:numPr>
          <w:ilvl w:val="0"/>
          <w:numId w:val="2"/>
        </w:numPr>
        <w:spacing w:after="80"/>
      </w:pPr>
      <w:r>
        <w:t xml:space="preserve">Quel est le niveau réel d'adoption de l'IA chez les enseignants et responsables pédagogiques en France ?</w:t>
      </w:r>
    </w:p>
    <w:p>
      <w:pPr>
        <w:pStyle w:val="ListParagraph"/>
        <w:numPr>
          <w:ilvl w:val="0"/>
          <w:numId w:val="2"/>
        </w:numPr>
        <w:spacing w:after="80"/>
      </w:pPr>
      <w:r>
        <w:t xml:space="preserve">Quels usages font-ils déjà, et lesquels rejettent-ils ?</w:t>
      </w:r>
    </w:p>
    <w:p>
      <w:pPr>
        <w:pStyle w:val="ListParagraph"/>
        <w:numPr>
          <w:ilvl w:val="0"/>
          <w:numId w:val="2"/>
        </w:numPr>
        <w:spacing w:after="80"/>
      </w:pPr>
      <w:r>
        <w:t xml:space="preserve">Quelles sont les conditions pour qu'ils adoptent un nouvel outil IA pédagogique comme Questia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E2" w:sz="8"/>
              <w:left w:val="single" w:color="4A90E2" w:sz="8"/>
              <w:bottom w:val="single" w:color="4A90E2" w:sz="8"/>
              <w:right w:val="single" w:color="4A90E2" w:sz="8"/>
            </w:tcBorders>
            <w:shd w:fill="E8F4FF" w:val="clear"/>
            <w:tcMar>
              <w:top w:type="dxa" w:w="200"/>
              <w:left w:type="dxa" w:w="240"/>
              <w:bottom w:type="dxa" w:w="200"/>
              <w:right w:type="dxa" w:w="240"/>
            </w:tcMar>
          </w:tcPr>
          <w:p>
            <w:pPr>
              <w:spacing w:after="100"/>
            </w:pPr>
            <w:r>
              <w:rPr>
                <w:b/>
                <w:bCs/>
                <w:color w:val="0A0E18"/>
                <w:sz w:val="22"/>
                <w:szCs w:val="22"/>
              </w:rPr>
              <w:t xml:space="preserve">📌 Résultat clé en une phrase</w:t>
            </w:r>
          </w:p>
          <w:p>
            <w:pPr>
              <w:spacing w:after="80"/>
            </w:pPr>
            <w:r>
              <w:rPr>
                <w:sz w:val="20"/>
                <w:szCs w:val="20"/>
              </w:rPr>
              <w:t xml:space="preserve">L'IA est massivement utilisée par les apprenants (90% des lycéens, 99% selon GoStudent) mais peu cadrée par leurs enseignants (seulement 20% l'utilisent activement, 70% se sentent non formés). Cet écart crée la fenêtre d'opportunité de Questia : un outil IA SCÉNARISÉ, BORNÉ et MAÎTRISÉ par le formateur — pas un autre ChatGPT générique.</w:t>
            </w:r>
          </w:p>
        </w:tc>
      </w:tr>
    </w:tbl>
    <w:p>
      <w:r>
        <w:br w:type="page"/>
      </w:r>
    </w:p>
    <w:p>
      <w:pPr>
        <w:pStyle w:val="Heading1"/>
        <w:pBdr>
          <w:bottom w:val="single" w:color="00A8C8" w:sz="12" w:space="4"/>
        </w:pBdr>
        <w:spacing w:after="200" w:before="360"/>
      </w:pPr>
      <w:r>
        <w:rPr>
          <w:b/>
          <w:bCs/>
          <w:color w:val="0A0E18"/>
        </w:rPr>
        <w:t xml:space="preserve">2. Méthodologie et sources</w:t>
      </w:r>
    </w:p>
    <w:p>
      <w:pPr>
        <w:spacing w:after="120"/>
        <w:jc w:val="left"/>
      </w:pPr>
      <w:r>
        <w:t xml:space="preserve">Cette étude est documentaire, elle s'appuie sur 8 sources principales publiées entre 2024 et 2026 :</w:t>
      </w:r>
    </w:p>
    <w:p>
      <w:pPr>
        <w:pStyle w:val="ListParagraph"/>
        <w:numPr>
          <w:ilvl w:val="0"/>
          <w:numId w:val="2"/>
        </w:numPr>
        <w:spacing w:after="80"/>
      </w:pPr>
      <w:r>
        <w:t xml:space="preserve">Étude GoStudent 2025 — Statistiques sur l'IA dans l'éducation en France (70 chiffres-clés)</w:t>
      </w:r>
    </w:p>
    <w:p>
      <w:pPr>
        <w:pStyle w:val="ListParagraph"/>
        <w:numPr>
          <w:ilvl w:val="0"/>
          <w:numId w:val="2"/>
        </w:numPr>
        <w:spacing w:after="80"/>
      </w:pPr>
      <w:r>
        <w:t xml:space="preserve">Étude Léonard de Vinci x Talan 2025 — Adoption de l'IA générative chez les étudiants</w:t>
      </w:r>
    </w:p>
    <w:p>
      <w:pPr>
        <w:pStyle w:val="ListParagraph"/>
        <w:numPr>
          <w:ilvl w:val="0"/>
          <w:numId w:val="2"/>
        </w:numPr>
        <w:spacing w:after="80"/>
      </w:pPr>
      <w:r>
        <w:t xml:space="preserve">Slate.fr janvier 2026 — Enquête sur l'adaptation des enseignants français à ChatGPT</w:t>
      </w:r>
    </w:p>
    <w:p>
      <w:pPr>
        <w:pStyle w:val="ListParagraph"/>
        <w:numPr>
          <w:ilvl w:val="0"/>
          <w:numId w:val="2"/>
        </w:numPr>
        <w:spacing w:after="80"/>
      </w:pPr>
      <w:r>
        <w:t xml:space="preserve">Centre Inffo Baromètre 2025 — Adoption de l'IA dans la formation professionnelle Qualiopi</w:t>
      </w:r>
    </w:p>
    <w:p>
      <w:pPr>
        <w:pStyle w:val="ListParagraph"/>
        <w:numPr>
          <w:ilvl w:val="0"/>
          <w:numId w:val="2"/>
        </w:numPr>
        <w:spacing w:after="80"/>
      </w:pPr>
      <w:r>
        <w:t xml:space="preserve">Ekole.fr janvier 2026 — Cadre d'usage de l'IA en éducation</w:t>
      </w:r>
    </w:p>
    <w:p>
      <w:pPr>
        <w:pStyle w:val="ListParagraph"/>
        <w:numPr>
          <w:ilvl w:val="0"/>
          <w:numId w:val="2"/>
        </w:numPr>
        <w:spacing w:after="80"/>
      </w:pPr>
      <w:r>
        <w:t xml:space="preserve">Inpulp.tech septembre 2025 — Étude « Apprendre avec ou contre l'IA »</w:t>
      </w:r>
    </w:p>
    <w:p>
      <w:pPr>
        <w:pStyle w:val="ListParagraph"/>
        <w:numPr>
          <w:ilvl w:val="0"/>
          <w:numId w:val="2"/>
        </w:numPr>
        <w:spacing w:after="80"/>
      </w:pPr>
      <w:r>
        <w:t xml:space="preserve">Roboto.fr 2025 — Guide complet ChatGPT à l'école</w:t>
      </w:r>
    </w:p>
    <w:p>
      <w:pPr>
        <w:pStyle w:val="ListParagraph"/>
        <w:numPr>
          <w:ilvl w:val="0"/>
          <w:numId w:val="2"/>
        </w:numPr>
        <w:spacing w:after="80"/>
      </w:pPr>
      <w:r>
        <w:t xml:space="preserve">Onnoff.gr 2026 — Compilation européenne sur l'IA en éducation</w:t>
      </w:r>
    </w:p>
    <w:p>
      <w:pPr>
        <w:spacing w:after="120"/>
        <w:jc w:val="left"/>
      </w:pPr>
      <w:r>
        <w:t xml:space="preserve">Limite à déclarer : aucun entretien terrain n'a encore été réalisé avec des directions pédagogiques d'écoles supérieures privées ni de responsables OF Qualiopi. L'étude doit être enrichie par 5-10 entretiens semi-directifs avant les premiers pitches Questia.</w:t>
      </w:r>
    </w:p>
    <w:p>
      <w:r>
        <w:br w:type="page"/>
      </w:r>
    </w:p>
    <w:p>
      <w:pPr>
        <w:pStyle w:val="Heading1"/>
        <w:pBdr>
          <w:bottom w:val="single" w:color="00A8C8" w:sz="12" w:space="4"/>
        </w:pBdr>
        <w:spacing w:after="200" w:before="360"/>
      </w:pPr>
      <w:r>
        <w:rPr>
          <w:b/>
          <w:bCs/>
          <w:color w:val="0A0E18"/>
        </w:rPr>
        <w:t xml:space="preserve">3. État des lieux : qui utilise l'IA, comment, pour quoi</w:t>
      </w:r>
    </w:p>
    <w:p>
      <w:pPr>
        <w:pStyle w:val="Heading2"/>
        <w:spacing w:after="140" w:before="280"/>
      </w:pPr>
      <w:r>
        <w:rPr>
          <w:b/>
          <w:bCs/>
          <w:color w:val="00A8C8"/>
        </w:rPr>
        <w:t xml:space="preserve">3.1 — Adoption massive du côté des apprenants</w:t>
      </w:r>
    </w:p>
    <w:p>
      <w:pPr>
        <w:spacing w:after="120"/>
        <w:jc w:val="left"/>
      </w:pPr>
      <w:r>
        <w:t xml:space="preserve">Les chiffres convergent vers un constat : les apprenants français ont massivement adopté l'IA générative.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Indicateur</w:t>
            </w:r>
          </w:p>
        </w:tc>
        <w:tc>
          <w:tcPr>
            <w:tcW w:type="dxa" w:w="1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center"/>
            </w:pPr>
            <w:r>
              <w:rPr>
                <w:b/>
                <w:bCs/>
                <w:color w:val="FFFFFF"/>
                <w:sz w:val="20"/>
                <w:szCs w:val="20"/>
              </w:rPr>
              <w:t xml:space="preserve">Valeur</w:t>
            </w:r>
          </w:p>
        </w:tc>
        <w:tc>
          <w:tcPr>
            <w:tcW w:type="dxa" w:w="30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Source</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Lycéens utilisant ChatGPT pour les devoirs</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00A8C8"/>
                <w:sz w:val="20"/>
                <w:szCs w:val="20"/>
              </w:rPr>
              <w:t xml:space="preserve">78-90 %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Ministère Éduc. nat. 2025 / Slate.fr 2026</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Élèves de seconde y ayant recours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0A8C8"/>
                <w:sz w:val="20"/>
                <w:szCs w:val="20"/>
              </w:rPr>
              <w:t xml:space="preserve">90 %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Slate.fr janvier 2026</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Élèves français ayant testé une IA générative au moins une fois</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00A8C8"/>
                <w:sz w:val="20"/>
                <w:szCs w:val="20"/>
              </w:rPr>
              <w:t xml:space="preserve">99 %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GoStudent 2025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Élèves l'utilisant régulièrement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0A8C8"/>
                <w:sz w:val="20"/>
                <w:szCs w:val="20"/>
              </w:rPr>
              <w:t xml:space="preserve">92 %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GoStudent 2025</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Étudiants supérieur disant dépendre de ChatGPT</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00A8C8"/>
                <w:sz w:val="20"/>
                <w:szCs w:val="20"/>
              </w:rPr>
              <w:t xml:space="preserve">51 %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Léonard de Vinci x Talan 2025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Vision positive de l'IA chez étudiants supérieur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0A8C8"/>
                <w:sz w:val="20"/>
                <w:szCs w:val="20"/>
              </w:rPr>
              <w:t xml:space="preserve">70 %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Léonard de Vinci x Talan 2025</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ChatGPT influence leurs choix</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00A8C8"/>
                <w:sz w:val="20"/>
                <w:szCs w:val="20"/>
              </w:rPr>
              <w:t xml:space="preserve">52 %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Léonard de Vinci x Talan 2025</w:t>
            </w:r>
          </w:p>
        </w:tc>
      </w:tr>
    </w:tbl>
    <w:p>
      <w:pPr>
        <w:pStyle w:val="Heading2"/>
        <w:spacing w:after="140" w:before="280"/>
      </w:pPr>
      <w:r>
        <w:rPr>
          <w:b/>
          <w:bCs/>
          <w:color w:val="00A8C8"/>
        </w:rPr>
        <w:t xml:space="preserve">3.2 — Adoption hésitante du côté des enseignants</w:t>
      </w:r>
    </w:p>
    <w:p>
      <w:pPr>
        <w:spacing w:after="120"/>
        <w:jc w:val="left"/>
      </w:pPr>
      <w:r>
        <w:t xml:space="preserve">Le contraste est saisissant. Les enseignants n'ont pas suivi le rythme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Indicateur</w:t>
            </w:r>
          </w:p>
        </w:tc>
        <w:tc>
          <w:tcPr>
            <w:tcW w:type="dxa" w:w="1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center"/>
            </w:pPr>
            <w:r>
              <w:rPr>
                <w:b/>
                <w:bCs/>
                <w:color w:val="FFFFFF"/>
                <w:sz w:val="20"/>
                <w:szCs w:val="20"/>
              </w:rPr>
              <w:t xml:space="preserve">Valeur</w:t>
            </w:r>
          </w:p>
        </w:tc>
        <w:tc>
          <w:tcPr>
            <w:tcW w:type="dxa" w:w="30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Source</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Enseignants utilisant l'IA générative</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7B5CFF"/>
                <w:sz w:val="20"/>
                <w:szCs w:val="20"/>
              </w:rPr>
              <w:t xml:space="preserve">20 %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Académie de Paris 2025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Enseignants déclarant ne pas avoir été formés à l'IA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7B5CFF"/>
                <w:sz w:val="20"/>
                <w:szCs w:val="20"/>
              </w:rPr>
              <w:t xml:space="preserve">70 %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Académie de Paris 2025</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Enseignants français souhaitant être formés</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7B5CFF"/>
                <w:sz w:val="20"/>
                <w:szCs w:val="20"/>
              </w:rPr>
              <w:t xml:space="preserve">56 %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Slate.fr août 2025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Enseignants français qui pensent que l'IA jouera un rôle central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7B5CFF"/>
                <w:sz w:val="20"/>
                <w:szCs w:val="20"/>
              </w:rPr>
              <w:t xml:space="preserve">50 %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GoStudent 2025</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Comparaison : enseignants britanniques et espagnols</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7B5CFF"/>
                <w:sz w:val="20"/>
                <w:szCs w:val="20"/>
              </w:rPr>
              <w:t xml:space="preserve">70 %</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GoStudent 2025</w:t>
            </w:r>
          </w:p>
        </w:tc>
      </w:tr>
      <w:tr>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Enseignants ayant modifié leurs pratiques (Estonie, juillet 2024)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7B5CFF"/>
                <w:sz w:val="20"/>
                <w:szCs w:val="20"/>
              </w:rPr>
              <w:t xml:space="preserve">49 %</w:t>
            </w:r>
          </w:p>
        </w:tc>
        <w:tc>
          <w:tcPr>
            <w:tcW w:type="dxa" w:w="3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586378"/>
                <w:sz w:val="18"/>
                <w:szCs w:val="18"/>
              </w:rPr>
              <w:t xml:space="preserve">Étude estonienne 2024</w:t>
            </w:r>
          </w:p>
        </w:tc>
      </w:tr>
      <w:tr>
        <w:tc>
          <w:tcPr>
            <w:tcW w:type="dxa" w:w="4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Étudiants supérieur dont les enseignants ont adopté l'IA pour cours/correction</w:t>
            </w:r>
          </w:p>
        </w:tc>
        <w:tc>
          <w:tcPr>
            <w:tcW w:type="dxa" w:w="1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center"/>
            </w:pPr>
            <w:r>
              <w:rPr>
                <w:b/>
                <w:bCs/>
                <w:color w:val="7B5CFF"/>
                <w:sz w:val="20"/>
                <w:szCs w:val="20"/>
              </w:rPr>
              <w:t xml:space="preserve">Majorité</w:t>
            </w:r>
          </w:p>
        </w:tc>
        <w:tc>
          <w:tcPr>
            <w:tcW w:type="dxa" w:w="3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586378"/>
                <w:sz w:val="18"/>
                <w:szCs w:val="18"/>
              </w:rPr>
              <w:t xml:space="preserve">Onoff.gr 2026</w:t>
            </w:r>
          </w:p>
        </w:tc>
      </w:tr>
    </w:tbl>
    <w:p>
      <w:pPr>
        <w:pStyle w:val="Heading2"/>
        <w:spacing w:after="140" w:before="280"/>
      </w:pPr>
      <w:r>
        <w:rPr>
          <w:b/>
          <w:bCs/>
          <w:color w:val="00A8C8"/>
        </w:rPr>
        <w:t xml:space="preserve">3.3 — Adoption dans la formation professionnelle Qualiopi</w:t>
      </w:r>
    </w:p>
    <w:p>
      <w:pPr>
        <w:spacing w:after="120"/>
        <w:jc w:val="left"/>
      </w:pPr>
      <w:r>
        <w:t xml:space="preserve">Le Centre Inffo a publié en 2025 un Baromètre qui permet de cadrer l'usage IA chez les organismes de formation :</w:t>
      </w:r>
    </w:p>
    <w:p>
      <w:pPr>
        <w:pStyle w:val="ListParagraph"/>
        <w:numPr>
          <w:ilvl w:val="0"/>
          <w:numId w:val="2"/>
        </w:numPr>
        <w:spacing w:after="80"/>
      </w:pPr>
      <w:r>
        <w:t xml:space="preserve">34% des organismes Qualiopi utilisent l'IA dans au moins une étape de leur processus pédagogique</w:t>
      </w:r>
    </w:p>
    <w:p>
      <w:pPr>
        <w:pStyle w:val="ListParagraph"/>
        <w:numPr>
          <w:ilvl w:val="0"/>
          <w:numId w:val="2"/>
        </w:numPr>
        <w:spacing w:after="80"/>
      </w:pPr>
      <w:r>
        <w:t xml:space="preserve">Mais seulement 12% l'ont formalisée dans leur démarche qualité</w:t>
      </w:r>
    </w:p>
    <w:p>
      <w:pPr>
        <w:pStyle w:val="ListParagraph"/>
        <w:numPr>
          <w:ilvl w:val="0"/>
          <w:numId w:val="2"/>
        </w:numPr>
        <w:spacing w:after="80"/>
      </w:pPr>
      <w:r>
        <w:t xml:space="preserve">Cela signifie que 22 points d'écart utilisent l'IA "en sous-marin" sans documentation Qualiopi</w:t>
      </w:r>
    </w:p>
    <w:p>
      <w:pPr>
        <w:pStyle w:val="ListParagraph"/>
        <w:numPr>
          <w:ilvl w:val="0"/>
          <w:numId w:val="2"/>
        </w:numPr>
        <w:spacing w:after="80"/>
      </w:pPr>
      <w:r>
        <w:t xml:space="preserve">La nouvelle version du référentiel RNQ 2025 attend désormais une formalisation des outils IA aux indicateurs 6 (adaptation des contenus) et 17 (moyens pédagogiques)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8"/>
              <w:left w:val="single" w:color="4CAF50" w:sz="8"/>
              <w:bottom w:val="single" w:color="4CAF50" w:sz="8"/>
              <w:right w:val="single" w:color="4CAF50" w:sz="8"/>
            </w:tcBorders>
            <w:shd w:fill="E8FBE8" w:val="clear"/>
            <w:tcMar>
              <w:top w:type="dxa" w:w="200"/>
              <w:left w:type="dxa" w:w="240"/>
              <w:bottom w:type="dxa" w:w="200"/>
              <w:right w:type="dxa" w:w="240"/>
            </w:tcMar>
          </w:tcPr>
          <w:p>
            <w:pPr>
              <w:spacing w:after="100"/>
            </w:pPr>
            <w:r>
              <w:rPr>
                <w:b/>
                <w:bCs/>
                <w:color w:val="0A0E18"/>
                <w:sz w:val="22"/>
                <w:szCs w:val="22"/>
              </w:rPr>
              <w:t xml:space="preserve">🎯 Implication stratégique pour Questia</w:t>
            </w:r>
          </w:p>
          <w:p>
            <w:pPr>
              <w:spacing w:after="80"/>
            </w:pPr>
            <w:r>
              <w:rPr>
                <w:sz w:val="20"/>
                <w:szCs w:val="20"/>
              </w:rPr>
              <w:t xml:space="preserve">C'est exactement le pain point que Questia peut résoudre : un outil IA pédagogique pré-formalisé Qualiopi-ready, qui permet aux 22% d'OF qui utilisent ChatGPT informellement de passer en conformité.</w:t>
            </w:r>
          </w:p>
          <w:p>
            <w:pPr>
              <w:spacing w:after="80"/>
            </w:pPr>
            <w:r>
              <w:rPr>
                <w:sz w:val="20"/>
                <w:szCs w:val="20"/>
              </w:rPr>
              <w:t xml:space="preserve">Argument de vente direct : « Avec Questia, votre IA est documentée, traçable, et prête pour votre prochain audit Qualiopi. »</w:t>
            </w:r>
          </w:p>
        </w:tc>
      </w:tr>
    </w:tbl>
    <w:p>
      <w:pPr>
        <w:pStyle w:val="Heading2"/>
        <w:spacing w:after="140" w:before="280"/>
      </w:pPr>
      <w:r>
        <w:rPr>
          <w:b/>
          <w:bCs/>
          <w:color w:val="00A8C8"/>
        </w:rPr>
        <w:t xml:space="preserve">3.4 — Quels usages enseignants existent déjà ?</w:t>
      </w:r>
    </w:p>
    <w:p>
      <w:pPr>
        <w:spacing w:after="120"/>
        <w:jc w:val="left"/>
      </w:pPr>
      <w:r>
        <w:t xml:space="preserve">Pour les 20-30% d'enseignants qui utilisent l'IA, les usages dominants sont :</w:t>
      </w:r>
    </w:p>
    <w:p>
      <w:pPr>
        <w:pStyle w:val="ListParagraph"/>
        <w:numPr>
          <w:ilvl w:val="0"/>
          <w:numId w:val="2"/>
        </w:numPr>
        <w:spacing w:after="80"/>
      </w:pPr>
      <w:r>
        <w:t xml:space="preserve">Génération de QCM et d'exercices (le plus fréquent)</w:t>
      </w:r>
    </w:p>
    <w:p>
      <w:pPr>
        <w:pStyle w:val="ListParagraph"/>
        <w:numPr>
          <w:ilvl w:val="0"/>
          <w:numId w:val="2"/>
        </w:numPr>
        <w:spacing w:after="80"/>
      </w:pPr>
      <w:r>
        <w:t xml:space="preserve">Préparation de plans de cours</w:t>
      </w:r>
    </w:p>
    <w:p>
      <w:pPr>
        <w:pStyle w:val="ListParagraph"/>
        <w:numPr>
          <w:ilvl w:val="0"/>
          <w:numId w:val="2"/>
        </w:numPr>
        <w:spacing w:after="80"/>
      </w:pPr>
      <w:r>
        <w:t xml:space="preserve">Automatisation de corrections de devoirs textuels</w:t>
      </w:r>
    </w:p>
    <w:p>
      <w:pPr>
        <w:pStyle w:val="ListParagraph"/>
        <w:numPr>
          <w:ilvl w:val="0"/>
          <w:numId w:val="2"/>
        </w:numPr>
        <w:spacing w:after="80"/>
      </w:pPr>
      <w:r>
        <w:t xml:space="preserve">Brainstorming pour activités de classe</w:t>
      </w:r>
    </w:p>
    <w:p>
      <w:pPr>
        <w:pStyle w:val="ListParagraph"/>
        <w:numPr>
          <w:ilvl w:val="0"/>
          <w:numId w:val="2"/>
        </w:numPr>
        <w:spacing w:after="80"/>
      </w:pPr>
      <w:r>
        <w:t xml:space="preserve">Adaptation de niveau pour différencier la pédagogie</w:t>
      </w:r>
    </w:p>
    <w:p>
      <w:pPr>
        <w:pStyle w:val="ListParagraph"/>
        <w:numPr>
          <w:ilvl w:val="0"/>
          <w:numId w:val="2"/>
        </w:numPr>
        <w:spacing w:after="80"/>
      </w:pPr>
      <w:r>
        <w:t xml:space="preserve">Génération de fiches de révision personnalisées</w:t>
      </w:r>
    </w:p>
    <w:p>
      <w:pPr>
        <w:spacing w:after="120"/>
        <w:jc w:val="left"/>
      </w:pPr>
      <w:r>
        <w:t xml:space="preserve">Outils principalement utilisés (Onoff.gr 2026) :</w:t>
      </w:r>
    </w:p>
    <w:p>
      <w:pPr>
        <w:pStyle w:val="ListParagraph"/>
        <w:numPr>
          <w:ilvl w:val="0"/>
          <w:numId w:val="2"/>
        </w:numPr>
        <w:spacing w:after="80"/>
      </w:pPr>
      <w:r>
        <w:t xml:space="preserve">ChatGPT, Claude, Gemini : usage généraliste</w:t>
      </w:r>
    </w:p>
    <w:p>
      <w:pPr>
        <w:pStyle w:val="ListParagraph"/>
        <w:numPr>
          <w:ilvl w:val="0"/>
          <w:numId w:val="2"/>
        </w:numPr>
        <w:spacing w:after="80"/>
      </w:pPr>
      <w:r>
        <w:t xml:space="preserve">Khan Academy Khanmigo : pour les maths et sciences</w:t>
      </w:r>
    </w:p>
    <w:p>
      <w:pPr>
        <w:pStyle w:val="ListParagraph"/>
        <w:numPr>
          <w:ilvl w:val="0"/>
          <w:numId w:val="2"/>
        </w:numPr>
        <w:spacing w:after="80"/>
      </w:pPr>
      <w:r>
        <w:t xml:space="preserve">Duolingo Max : pour les langues, jeux de rôle conversationnels</w:t>
      </w:r>
    </w:p>
    <w:p>
      <w:pPr>
        <w:pStyle w:val="ListParagraph"/>
        <w:numPr>
          <w:ilvl w:val="0"/>
          <w:numId w:val="2"/>
        </w:numPr>
        <w:spacing w:after="80"/>
      </w:pPr>
      <w:r>
        <w:t xml:space="preserve">Anki + IA : flashcards à répétition espacée</w:t>
      </w:r>
    </w:p>
    <w:p>
      <w:pPr>
        <w:pStyle w:val="ListParagraph"/>
        <w:numPr>
          <w:ilvl w:val="0"/>
          <w:numId w:val="2"/>
        </w:numPr>
        <w:spacing w:after="80"/>
      </w:pPr>
      <w:r>
        <w:t xml:space="preserve">Notion IA : prise de notes et synthèses</w:t>
      </w:r>
    </w:p>
    <w:p>
      <w:pPr>
        <w:pStyle w:val="ListParagraph"/>
        <w:numPr>
          <w:ilvl w:val="0"/>
          <w:numId w:val="2"/>
        </w:numPr>
        <w:spacing w:after="80"/>
      </w:pPr>
      <w:r>
        <w:t xml:space="preserve">Photomath, Wolfram Alpha : maths</w:t>
      </w:r>
    </w:p>
    <w:p>
      <w:pPr>
        <w:spacing w:after="120"/>
        <w:jc w:val="left"/>
      </w:pPr>
      <w:r>
        <w:t xml:space="preserve">Constat : l'écosystème actuel manque de simulations B2B contextualisées en langues. Duolingo Max fait du roleplay générique, pas du keigo japonais ni de la négociation procurement à Berlin. C'est précisément la zone vide identifiée dans le benchmark concurrentiel.</w:t>
      </w:r>
    </w:p>
    <w:p>
      <w:r>
        <w:br w:type="page"/>
      </w:r>
    </w:p>
    <w:p>
      <w:pPr>
        <w:pStyle w:val="Heading1"/>
        <w:pBdr>
          <w:bottom w:val="single" w:color="00A8C8" w:sz="12" w:space="4"/>
        </w:pBdr>
        <w:spacing w:after="200" w:before="360"/>
      </w:pPr>
      <w:r>
        <w:rPr>
          <w:b/>
          <w:bCs/>
          <w:color w:val="0A0E18"/>
        </w:rPr>
        <w:t xml:space="preserve">4. Les freins identifiés à l'adoption</w:t>
      </w:r>
    </w:p>
    <w:p>
      <w:pPr>
        <w:spacing w:after="120"/>
        <w:jc w:val="left"/>
      </w:pPr>
      <w:r>
        <w:t xml:space="preserve">Si seulement 20% des enseignants utilisent l'IA alors que 56% souhaitent être formés, c'est qu'il existe des freins importants. Cette étude en identifie six.</w:t>
      </w:r>
    </w:p>
    <w:p>
      <w:pPr>
        <w:pStyle w:val="Heading2"/>
        <w:spacing w:after="140" w:before="280"/>
      </w:pPr>
      <w:r>
        <w:rPr>
          <w:b/>
          <w:bCs/>
          <w:color w:val="00A8C8"/>
        </w:rPr>
        <w:t xml:space="preserve">Frein 1 — La méfiance pédagogique : « l'IA va abrutir les apprenants »</w:t>
      </w:r>
    </w:p>
    <w:p>
      <w:pPr>
        <w:spacing w:after="120"/>
        <w:jc w:val="left"/>
      </w:pPr>
      <w:r>
        <w:t xml:space="preserve">C'est le frein le plus fréquent. L'argumentaire des enseignants méfiants :</w:t>
      </w:r>
    </w:p>
    <w:p>
      <w:pPr>
        <w:spacing w:after="120"/>
      </w:pPr>
      <w:r>
        <w:rPr>
          <w:i/>
          <w:iCs/>
        </w:rPr>
        <w:t xml:space="preserve">« Si les élèves délèguent systématiquement leurs rédactions à ChatGPT, comment développeront-ils leur propre style d'écriture ? »</w:t>
      </w:r>
      <w:r>
        <w:t xml:space="preserve"> (Mathilde Dupont, professeure de lettres, citée par Roboto.fr 2025)</w:t>
      </w:r>
    </w:p>
    <w:p>
      <w:pPr>
        <w:spacing w:after="120"/>
      </w:pPr>
      <w:r>
        <w:rPr>
          <w:i/>
          <w:iCs/>
        </w:rPr>
        <w:t xml:space="preserve">« Le recours massif à ChatGPT freine certaines compétences : les apprenants se découragent face aux textes longs et utilisent l'IA comme une béquille. »</w:t>
      </w:r>
      <w:r>
        <w:t xml:space="preserve"> (Blandine Coudert, enseignante histoire-géo, citée par Slate.fr 2026)</w:t>
      </w:r>
    </w:p>
    <w:p>
      <w:pPr>
        <w:pStyle w:val="Heading3"/>
        <w:spacing w:after="100" w:before="200"/>
      </w:pPr>
      <w:r>
        <w:rPr>
          <w:b/>
          <w:bCs/>
          <w:color w:val="0A0E18"/>
        </w:rPr>
        <w:t xml:space="preserve">Comment Questia peut désamorcer ce frein</w:t>
      </w:r>
    </w:p>
    <w:p>
      <w:pPr>
        <w:pStyle w:val="ListParagraph"/>
        <w:numPr>
          <w:ilvl w:val="0"/>
          <w:numId w:val="2"/>
        </w:numPr>
        <w:spacing w:after="80"/>
      </w:pPr>
      <w:r>
        <w:t xml:space="preserve">L'apprenant DOIT parler activement, l'IA ne fait pas le travail à sa place</w:t>
      </w:r>
    </w:p>
    <w:p>
      <w:pPr>
        <w:pStyle w:val="ListParagraph"/>
        <w:numPr>
          <w:ilvl w:val="0"/>
          <w:numId w:val="2"/>
        </w:numPr>
        <w:spacing w:after="80"/>
      </w:pPr>
      <w:r>
        <w:t xml:space="preserve">La progression CECRL est mesurée objectivement, pas auto-déclarée</w:t>
      </w:r>
    </w:p>
    <w:p>
      <w:pPr>
        <w:pStyle w:val="ListParagraph"/>
        <w:numPr>
          <w:ilvl w:val="0"/>
          <w:numId w:val="2"/>
        </w:numPr>
        <w:spacing w:after="80"/>
      </w:pPr>
      <w:r>
        <w:t xml:space="preserve">Le formateur garde le contrôle : il assigne les missions, voit les rapports, oriente le coaching</w:t>
      </w:r>
    </w:p>
    <w:p>
      <w:pPr>
        <w:pStyle w:val="Heading2"/>
        <w:spacing w:after="140" w:before="280"/>
      </w:pPr>
      <w:r>
        <w:rPr>
          <w:b/>
          <w:bCs/>
          <w:color w:val="00A8C8"/>
        </w:rPr>
        <w:t xml:space="preserve">Frein 2 — Le manque de formation</w:t>
      </w:r>
    </w:p>
    <w:p>
      <w:pPr>
        <w:spacing w:after="120"/>
        <w:jc w:val="left"/>
      </w:pPr>
      <w:r>
        <w:t xml:space="preserve">70% des enseignants n'ont pas été formés à l'IA. Ils manquent de repères pour distinguer un outil pédagogique sérieux d'un gadget.</w:t>
      </w:r>
    </w:p>
    <w:p>
      <w:pPr>
        <w:pStyle w:val="Heading3"/>
        <w:spacing w:after="100" w:before="200"/>
      </w:pPr>
      <w:r>
        <w:rPr>
          <w:b/>
          <w:bCs/>
          <w:color w:val="0A0E18"/>
        </w:rPr>
        <w:t xml:space="preserve">Comment Questia peut désamorcer ce frein</w:t>
      </w:r>
    </w:p>
    <w:p>
      <w:pPr>
        <w:pStyle w:val="ListParagraph"/>
        <w:numPr>
          <w:ilvl w:val="0"/>
          <w:numId w:val="2"/>
        </w:numPr>
        <w:spacing w:after="80"/>
      </w:pPr>
      <w:r>
        <w:t xml:space="preserve">Onboarding formateur structuré (vidéos courtes, guide "premier scénario en 30 min")</w:t>
      </w:r>
    </w:p>
    <w:p>
      <w:pPr>
        <w:pStyle w:val="ListParagraph"/>
        <w:numPr>
          <w:ilvl w:val="0"/>
          <w:numId w:val="2"/>
        </w:numPr>
        <w:spacing w:after="80"/>
      </w:pPr>
      <w:r>
        <w:t xml:space="preserve">Accompagnement humain via Customer Success pendant les 60 premiers jours</w:t>
      </w:r>
    </w:p>
    <w:p>
      <w:pPr>
        <w:pStyle w:val="ListParagraph"/>
        <w:numPr>
          <w:ilvl w:val="0"/>
          <w:numId w:val="2"/>
        </w:numPr>
        <w:spacing w:after="80"/>
      </w:pPr>
      <w:r>
        <w:t xml:space="preserve">Webinaires mensuels « Questia pour les formateurs débutants »</w:t>
      </w:r>
    </w:p>
    <w:p>
      <w:pPr>
        <w:pStyle w:val="ListParagraph"/>
        <w:numPr>
          <w:ilvl w:val="0"/>
          <w:numId w:val="2"/>
        </w:numPr>
        <w:spacing w:after="80"/>
      </w:pPr>
      <w:r>
        <w:t xml:space="preserve">Communauté de pratique formateurs (Slack ou WhatsApp privé)</w:t>
      </w:r>
    </w:p>
    <w:p>
      <w:pPr>
        <w:pStyle w:val="Heading2"/>
        <w:spacing w:after="140" w:before="280"/>
      </w:pPr>
      <w:r>
        <w:rPr>
          <w:b/>
          <w:bCs/>
          <w:color w:val="00A8C8"/>
        </w:rPr>
        <w:t xml:space="preserve">Frein 3 — La peur de la triche et de la perte d'évaluation</w:t>
      </w:r>
    </w:p>
    <w:p>
      <w:pPr>
        <w:spacing w:after="120"/>
        <w:jc w:val="left"/>
      </w:pPr>
      <w:r>
        <w:t xml:space="preserve">Comment évaluer un apprenant qui utilise l'IA ? L'inspectrice d'académie Sophie Bertrand citée par Roboto.fr résume :</w:t>
      </w:r>
    </w:p>
    <w:p>
      <w:pPr>
        <w:spacing w:after="120"/>
      </w:pPr>
      <w:r>
        <w:rPr>
          <w:i/>
          <w:iCs/>
        </w:rPr>
        <w:t xml:space="preserve">« L'important n'est plus de savoir si l'élève a utilisé l'IA, mais plutôt comment il l'a utilisée. »</w:t>
      </w:r>
    </w:p>
    <w:p>
      <w:pPr>
        <w:pStyle w:val="Heading3"/>
        <w:spacing w:after="100" w:before="200"/>
      </w:pPr>
      <w:r>
        <w:rPr>
          <w:b/>
          <w:bCs/>
          <w:color w:val="0A0E18"/>
        </w:rPr>
        <w:t xml:space="preserve">Comment Questia peut désamorcer ce frein</w:t>
      </w:r>
    </w:p>
    <w:p>
      <w:pPr>
        <w:pStyle w:val="ListParagraph"/>
        <w:numPr>
          <w:ilvl w:val="0"/>
          <w:numId w:val="2"/>
        </w:numPr>
        <w:spacing w:after="80"/>
      </w:pPr>
      <w:r>
        <w:t xml:space="preserve">Questia est un OUTIL D'ENTRAÎNEMENT, pas d'évaluation finale</w:t>
      </w:r>
    </w:p>
    <w:p>
      <w:pPr>
        <w:pStyle w:val="ListParagraph"/>
        <w:numPr>
          <w:ilvl w:val="0"/>
          <w:numId w:val="2"/>
        </w:numPr>
        <w:spacing w:after="80"/>
      </w:pPr>
      <w:r>
        <w:t xml:space="preserve">L'évaluation finale reste à la main du formateur, en présentiel ou en visio</w:t>
      </w:r>
    </w:p>
    <w:p>
      <w:pPr>
        <w:pStyle w:val="ListParagraph"/>
        <w:numPr>
          <w:ilvl w:val="0"/>
          <w:numId w:val="2"/>
        </w:numPr>
        <w:spacing w:after="80"/>
      </w:pPr>
      <w:r>
        <w:t xml:space="preserve">Le rapport CECRL Questia est un outil de diagnostic, pas une note officielle</w:t>
      </w:r>
    </w:p>
    <w:p>
      <w:pPr>
        <w:pStyle w:val="Heading2"/>
        <w:spacing w:after="140" w:before="280"/>
      </w:pPr>
      <w:r>
        <w:rPr>
          <w:b/>
          <w:bCs/>
          <w:color w:val="00A8C8"/>
        </w:rPr>
        <w:t xml:space="preserve">Frein 4 — Les enjeux RGPD et de souveraineté</w:t>
      </w:r>
    </w:p>
    <w:p>
      <w:pPr>
        <w:spacing w:after="120"/>
        <w:jc w:val="left"/>
      </w:pPr>
      <w:r>
        <w:t xml:space="preserve">La majorité des outils IA grand public sont américains (OpenAI, Anthropic, Google). Plusieurs sources citent la dépendance technologique comme inquiétude :</w:t>
      </w:r>
    </w:p>
    <w:p>
      <w:pPr>
        <w:pStyle w:val="ListParagraph"/>
        <w:numPr>
          <w:ilvl w:val="0"/>
          <w:numId w:val="2"/>
        </w:numPr>
        <w:spacing w:after="80"/>
      </w:pPr>
      <w:r>
        <w:t xml:space="preserve">BiblioOnDemand (start-up française citée par Slate.fr 2026) revendique une IA "entraînée exclusivement sur France 24, Radio France, RFI"</w:t>
      </w:r>
    </w:p>
    <w:p>
      <w:pPr>
        <w:pStyle w:val="ListParagraph"/>
        <w:numPr>
          <w:ilvl w:val="0"/>
          <w:numId w:val="2"/>
        </w:numPr>
        <w:spacing w:after="80"/>
      </w:pPr>
      <w:r>
        <w:t xml:space="preserve">Le ministère a publié en juin 2025 un "cadre d'usage de l'IA" insistant sur la conformité RGPD</w:t>
      </w:r>
    </w:p>
    <w:p>
      <w:pPr>
        <w:pStyle w:val="ListParagraph"/>
        <w:numPr>
          <w:ilvl w:val="0"/>
          <w:numId w:val="2"/>
        </w:numPr>
        <w:spacing w:after="80"/>
      </w:pPr>
      <w:r>
        <w:t xml:space="preserve">L'AI Act européen impose depuis février 2025 un niveau minimal de compétences IA dans les équipes utilisant ces technologies</w:t>
      </w:r>
    </w:p>
    <w:p>
      <w:pPr>
        <w:pStyle w:val="Heading3"/>
        <w:spacing w:after="100" w:before="200"/>
      </w:pPr>
      <w:r>
        <w:rPr>
          <w:b/>
          <w:bCs/>
          <w:color w:val="0A0E18"/>
        </w:rPr>
        <w:t xml:space="preserve">Comment Questia peut désamorcer ce frein</w:t>
      </w:r>
    </w:p>
    <w:p>
      <w:pPr>
        <w:pStyle w:val="ListParagraph"/>
        <w:numPr>
          <w:ilvl w:val="0"/>
          <w:numId w:val="2"/>
        </w:numPr>
        <w:spacing w:after="80"/>
      </w:pPr>
      <w:r>
        <w:t xml:space="preserve">Hébergement européen (OVH, IONOS, ou Scaleway) à privilégier</w:t>
      </w:r>
    </w:p>
    <w:p>
      <w:pPr>
        <w:pStyle w:val="ListParagraph"/>
        <w:numPr>
          <w:ilvl w:val="0"/>
          <w:numId w:val="2"/>
        </w:numPr>
        <w:spacing w:after="80"/>
      </w:pPr>
      <w:r>
        <w:t xml:space="preserve">Politique RGPD très claire et accessible (déjà en place dans la modal légale)</w:t>
      </w:r>
    </w:p>
    <w:p>
      <w:pPr>
        <w:pStyle w:val="ListParagraph"/>
        <w:numPr>
          <w:ilvl w:val="0"/>
          <w:numId w:val="2"/>
        </w:numPr>
        <w:spacing w:after="80"/>
      </w:pPr>
      <w:r>
        <w:t xml:space="preserve">DPA standard fourni avec chaque contrat B2B</w:t>
      </w:r>
    </w:p>
    <w:p>
      <w:pPr>
        <w:pStyle w:val="ListParagraph"/>
        <w:numPr>
          <w:ilvl w:val="0"/>
          <w:numId w:val="2"/>
        </w:numPr>
        <w:spacing w:after="80"/>
      </w:pPr>
      <w:r>
        <w:t xml:space="preserve">Si possible : positionner Questia comme "alternative française au tout-américain"</w:t>
      </w:r>
    </w:p>
    <w:p>
      <w:pPr>
        <w:pStyle w:val="Heading2"/>
        <w:spacing w:after="140" w:before="280"/>
      </w:pPr>
      <w:r>
        <w:rPr>
          <w:b/>
          <w:bCs/>
          <w:color w:val="00A8C8"/>
        </w:rPr>
        <w:t xml:space="preserve">Frein 5 — La fracture numérique</w:t>
      </w:r>
    </w:p>
    <w:p>
      <w:pPr>
        <w:spacing w:after="120"/>
        <w:jc w:val="left"/>
      </w:pPr>
      <w:r>
        <w:t xml:space="preserve">Selon Notieai 2025 :</w:t>
      </w:r>
    </w:p>
    <w:p>
      <w:pPr>
        <w:pStyle w:val="ListParagraph"/>
        <w:numPr>
          <w:ilvl w:val="0"/>
          <w:numId w:val="2"/>
        </w:numPr>
        <w:spacing w:after="80"/>
      </w:pPr>
      <w:r>
        <w:t xml:space="preserve">17% des foyers français avec enfants n'ont pas d'équipement informatique adéquat</w:t>
      </w:r>
    </w:p>
    <w:p>
      <w:pPr>
        <w:pStyle w:val="ListParagraph"/>
        <w:numPr>
          <w:ilvl w:val="0"/>
          <w:numId w:val="2"/>
        </w:numPr>
        <w:spacing w:after="80"/>
      </w:pPr>
      <w:r>
        <w:t xml:space="preserve">40% des élèves issus de milieux défavorisés rapportent des difficultés à utiliser les outils IA</w:t>
      </w:r>
    </w:p>
    <w:p>
      <w:pPr>
        <w:pStyle w:val="ListParagraph"/>
        <w:numPr>
          <w:ilvl w:val="0"/>
          <w:numId w:val="2"/>
        </w:numPr>
        <w:spacing w:after="80"/>
      </w:pPr>
      <w:r>
        <w:t xml:space="preserve">Les écoles privées et les zones favorisées s'équipent ; les zones rurales restent sous-équipées</w:t>
      </w:r>
    </w:p>
    <w:p>
      <w:pPr>
        <w:pStyle w:val="Heading3"/>
        <w:spacing w:after="100" w:before="200"/>
      </w:pPr>
      <w:r>
        <w:rPr>
          <w:b/>
          <w:bCs/>
          <w:color w:val="0A0E18"/>
        </w:rPr>
        <w:t xml:space="preserve">Comment Questia peut désamorcer ce frein</w:t>
      </w:r>
    </w:p>
    <w:p>
      <w:pPr>
        <w:pStyle w:val="ListParagraph"/>
        <w:numPr>
          <w:ilvl w:val="0"/>
          <w:numId w:val="2"/>
        </w:numPr>
        <w:spacing w:after="80"/>
      </w:pPr>
      <w:r>
        <w:t xml:space="preserve">Questia est web-based, fonctionne sur navigateur sans installation</w:t>
      </w:r>
    </w:p>
    <w:p>
      <w:pPr>
        <w:pStyle w:val="ListParagraph"/>
        <w:numPr>
          <w:ilvl w:val="0"/>
          <w:numId w:val="2"/>
        </w:numPr>
        <w:spacing w:after="80"/>
      </w:pPr>
      <w:r>
        <w:t xml:space="preserve">Compatible mobile/tablette responsive (déjà en place)</w:t>
      </w:r>
    </w:p>
    <w:p>
      <w:pPr>
        <w:pStyle w:val="ListParagraph"/>
        <w:numPr>
          <w:ilvl w:val="0"/>
          <w:numId w:val="2"/>
        </w:numPr>
        <w:spacing w:after="80"/>
      </w:pPr>
      <w:r>
        <w:t xml:space="preserve">Mode léger pour connexions limitées (à développer)</w:t>
      </w:r>
    </w:p>
    <w:p>
      <w:pPr>
        <w:pStyle w:val="ListParagraph"/>
        <w:numPr>
          <w:ilvl w:val="0"/>
          <w:numId w:val="2"/>
        </w:numPr>
        <w:spacing w:after="80"/>
      </w:pPr>
      <w:r>
        <w:t xml:space="preserve">Pas de prérequis technique élevé pour le formateur (pas besoin de comprendre l'IA)</w:t>
      </w:r>
    </w:p>
    <w:p>
      <w:pPr>
        <w:pStyle w:val="Heading2"/>
        <w:spacing w:after="140" w:before="280"/>
      </w:pPr>
      <w:r>
        <w:rPr>
          <w:b/>
          <w:bCs/>
          <w:color w:val="00A8C8"/>
        </w:rPr>
        <w:t xml:space="preserve">Frein 6 — Le coût et le ROI difficile à prouver</w:t>
      </w:r>
    </w:p>
    <w:p>
      <w:pPr>
        <w:spacing w:after="120"/>
        <w:jc w:val="left"/>
      </w:pPr>
      <w:r>
        <w:t xml:space="preserve">Les RH et directeurs pédagogiques sont sceptiques face aux promesses non mesurées. Or Questia revendique aujourd'hui :</w:t>
      </w:r>
    </w:p>
    <w:p>
      <w:pPr>
        <w:pStyle w:val="ListParagraph"/>
        <w:numPr>
          <w:ilvl w:val="0"/>
          <w:numId w:val="2"/>
        </w:numPr>
        <w:spacing w:after="80"/>
      </w:pPr>
      <w:r>
        <w:t xml:space="preserve">« +0,4 niveau CECRL en 4 semaines » — non mesuré</w:t>
      </w:r>
    </w:p>
    <w:p>
      <w:pPr>
        <w:pStyle w:val="ListParagraph"/>
        <w:numPr>
          <w:ilvl w:val="0"/>
          <w:numId w:val="2"/>
        </w:numPr>
        <w:spacing w:after="80"/>
      </w:pPr>
      <w:r>
        <w:t xml:space="preserve">« ×3 d'oral par apprenant » — non mesuré</w:t>
      </w:r>
    </w:p>
    <w:p>
      <w:pPr>
        <w:pStyle w:val="ListParagraph"/>
        <w:numPr>
          <w:ilvl w:val="0"/>
          <w:numId w:val="2"/>
        </w:numPr>
        <w:spacing w:after="80"/>
      </w:pPr>
      <w:r>
        <w:t xml:space="preserve">« −72 % de temps formateur » — non mesuré</w:t>
      </w:r>
    </w:p>
    <w:p>
      <w:pPr>
        <w:pStyle w:val="Heading3"/>
        <w:spacing w:after="100" w:before="200"/>
      </w:pPr>
      <w:r>
        <w:rPr>
          <w:b/>
          <w:bCs/>
          <w:color w:val="0A0E18"/>
        </w:rPr>
        <w:t xml:space="preserve">Comment Questia doit désamorcer ce frein (action requise)</w:t>
      </w:r>
    </w:p>
    <w:p>
      <w:pPr>
        <w:pStyle w:val="ListParagraph"/>
        <w:numPr>
          <w:ilvl w:val="0"/>
          <w:numId w:val="2"/>
        </w:numPr>
        <w:spacing w:after="80"/>
      </w:pPr>
      <w:r>
        <w:t xml:space="preserve">Conduire une étude pilote sur 8 personnes minimum, 4 semaines, mesure CECRL avant/après</w:t>
      </w:r>
    </w:p>
    <w:p>
      <w:pPr>
        <w:pStyle w:val="ListParagraph"/>
        <w:numPr>
          <w:ilvl w:val="0"/>
          <w:numId w:val="2"/>
        </w:numPr>
        <w:spacing w:after="80"/>
      </w:pPr>
      <w:r>
        <w:t xml:space="preserve">Documenter le protocole et les résultats (même imparfaits)</w:t>
      </w:r>
    </w:p>
    <w:p>
      <w:pPr>
        <w:pStyle w:val="ListParagraph"/>
        <w:numPr>
          <w:ilvl w:val="0"/>
          <w:numId w:val="2"/>
        </w:numPr>
        <w:spacing w:after="80"/>
      </w:pPr>
      <w:r>
        <w:t xml:space="preserve">Publier l'étude en accès libre, l'opposer à n'importe quelle objection RH</w:t>
      </w:r>
    </w:p>
    <w:p>
      <w:r>
        <w:br w:type="page"/>
      </w:r>
    </w:p>
    <w:p>
      <w:pPr>
        <w:pStyle w:val="Heading1"/>
        <w:pBdr>
          <w:bottom w:val="single" w:color="00A8C8" w:sz="12" w:space="4"/>
        </w:pBdr>
        <w:spacing w:after="200" w:before="360"/>
      </w:pPr>
      <w:r>
        <w:rPr>
          <w:b/>
          <w:bCs/>
          <w:color w:val="0A0E18"/>
        </w:rPr>
        <w:t xml:space="preserve">5. Le cadre réglementaire en construction</w:t>
      </w:r>
    </w:p>
    <w:p>
      <w:pPr>
        <w:spacing w:after="120"/>
        <w:jc w:val="left"/>
      </w:pPr>
      <w:r>
        <w:t xml:space="preserve">Trois grandes évolutions encadrent l'usage de l'IA en éducation et en formation pro entre 2024 et 2026.</w:t>
      </w:r>
    </w:p>
    <w:p>
      <w:pPr>
        <w:pStyle w:val="Heading2"/>
        <w:spacing w:after="140" w:before="280"/>
      </w:pPr>
      <w:r>
        <w:rPr>
          <w:b/>
          <w:bCs/>
          <w:color w:val="00A8C8"/>
        </w:rPr>
        <w:t xml:space="preserve">5.1 — Le cadre d'usage de l'IA du ministère (juin 2025)</w:t>
      </w:r>
    </w:p>
    <w:p>
      <w:pPr>
        <w:spacing w:after="120"/>
        <w:jc w:val="left"/>
      </w:pPr>
      <w:r>
        <w:t xml:space="preserve">Le ministère de l'Éducation nationale a publié en juin 2025 son « cadre d'usage de l'IA » qui pose trois piliers :</w:t>
      </w:r>
    </w:p>
    <w:p>
      <w:pPr>
        <w:pStyle w:val="ListParagraph"/>
        <w:numPr>
          <w:ilvl w:val="0"/>
          <w:numId w:val="2"/>
        </w:numPr>
        <w:spacing w:after="80"/>
      </w:pPr>
      <w:r>
        <w:t xml:space="preserve">Comprendre le fonctionnement des outils IA</w:t>
      </w:r>
    </w:p>
    <w:p>
      <w:pPr>
        <w:pStyle w:val="ListParagraph"/>
        <w:numPr>
          <w:ilvl w:val="0"/>
          <w:numId w:val="2"/>
        </w:numPr>
        <w:spacing w:after="80"/>
      </w:pPr>
      <w:r>
        <w:t xml:space="preserve">Développer un savoir-faire pratique</w:t>
      </w:r>
    </w:p>
    <w:p>
      <w:pPr>
        <w:pStyle w:val="ListParagraph"/>
        <w:numPr>
          <w:ilvl w:val="0"/>
          <w:numId w:val="2"/>
        </w:numPr>
        <w:spacing w:after="80"/>
      </w:pPr>
      <w:r>
        <w:t xml:space="preserve">Interroger les dimensions éthiques, sociales et économiques</w:t>
      </w:r>
    </w:p>
    <w:p>
      <w:pPr>
        <w:spacing w:after="120"/>
        <w:jc w:val="left"/>
      </w:pPr>
      <w:r>
        <w:t xml:space="preserve">Dès janvier 2026, tous les élèves du second degré ont accès à un parcours de sensibilisation à l'IA sur la plateforme PIX.</w:t>
      </w:r>
    </w:p>
    <w:p>
      <w:pPr>
        <w:pStyle w:val="Heading2"/>
        <w:spacing w:after="140" w:before="280"/>
      </w:pPr>
      <w:r>
        <w:rPr>
          <w:b/>
          <w:bCs/>
          <w:color w:val="00A8C8"/>
        </w:rPr>
        <w:t xml:space="preserve">5.2 — La réforme Qualiopi 2025</w:t>
      </w:r>
    </w:p>
    <w:p>
      <w:pPr>
        <w:spacing w:after="120"/>
        <w:jc w:val="left"/>
      </w:pPr>
      <w:r>
        <w:t xml:space="preserve">Le référentiel RNQ a été révisé en 2025. Trois évolutions concernent directement Questia :</w:t>
      </w:r>
    </w:p>
    <w:p>
      <w:pPr>
        <w:pStyle w:val="ListParagraph"/>
        <w:numPr>
          <w:ilvl w:val="0"/>
          <w:numId w:val="2"/>
        </w:numPr>
        <w:spacing w:after="80"/>
      </w:pPr>
      <w:r>
        <w:t xml:space="preserve">Indicateur 6 (adaptation des contenus) : formalisation des outils IA exigée</w:t>
      </w:r>
    </w:p>
    <w:p>
      <w:pPr>
        <w:pStyle w:val="ListParagraph"/>
        <w:numPr>
          <w:ilvl w:val="0"/>
          <w:numId w:val="2"/>
        </w:numPr>
        <w:spacing w:after="80"/>
      </w:pPr>
      <w:r>
        <w:t xml:space="preserve">Indicateur 17 (moyens pédagogiques) : si LLM ou agent IA utilisé, doit figurer dans la description</w:t>
      </w:r>
    </w:p>
    <w:p>
      <w:pPr>
        <w:pStyle w:val="ListParagraph"/>
        <w:numPr>
          <w:ilvl w:val="0"/>
          <w:numId w:val="2"/>
        </w:numPr>
        <w:spacing w:after="80"/>
      </w:pPr>
      <w:r>
        <w:t xml:space="preserve">Sous-traitance : les auditeurs vérifient que les sous-traitants respectent aussi Qualiopi</w:t>
      </w:r>
    </w:p>
    <w:p>
      <w:pPr>
        <w:spacing w:after="120"/>
      </w:pPr>
      <w:r>
        <w:rPr>
          <w:b/>
          <w:bCs/>
        </w:rPr>
        <w:t xml:space="preserve">Conséquence pour Questia : </w:t>
      </w:r>
      <w:r>
        <w:t xml:space="preserve">obtenir Qualiopi devient une priorité stratégique. Les OF Qualiopi qui sous-traitent à Questia voudront vérifier la conformité.</w:t>
      </w:r>
    </w:p>
    <w:p>
      <w:pPr>
        <w:pStyle w:val="Heading2"/>
        <w:spacing w:after="140" w:before="280"/>
      </w:pPr>
      <w:r>
        <w:rPr>
          <w:b/>
          <w:bCs/>
          <w:color w:val="00A8C8"/>
        </w:rPr>
        <w:t xml:space="preserve">5.3 — L'AI Act européen (février 2025)</w:t>
      </w:r>
    </w:p>
    <w:p>
      <w:pPr>
        <w:spacing w:after="120"/>
        <w:jc w:val="left"/>
      </w:pPr>
      <w:r>
        <w:t xml:space="preserve">Règlement UE 2024/1689, en vigueur depuis février 2025 :</w:t>
      </w:r>
    </w:p>
    <w:p>
      <w:pPr>
        <w:pStyle w:val="ListParagraph"/>
        <w:numPr>
          <w:ilvl w:val="0"/>
          <w:numId w:val="2"/>
        </w:numPr>
        <w:spacing w:after="80"/>
      </w:pPr>
      <w:r>
        <w:t xml:space="preserve">Niveau minimal de compétences IA exigé pour les équipes utilisant ces technologies</w:t>
      </w:r>
    </w:p>
    <w:p>
      <w:pPr>
        <w:pStyle w:val="ListParagraph"/>
        <w:numPr>
          <w:ilvl w:val="0"/>
          <w:numId w:val="2"/>
        </w:numPr>
        <w:spacing w:after="80"/>
      </w:pPr>
      <w:r>
        <w:t xml:space="preserve">Sanctions applicables dès août 2026</w:t>
      </w:r>
    </w:p>
    <w:p>
      <w:pPr>
        <w:pStyle w:val="ListParagraph"/>
        <w:numPr>
          <w:ilvl w:val="0"/>
          <w:numId w:val="2"/>
        </w:numPr>
        <w:spacing w:after="80"/>
      </w:pPr>
      <w:r>
        <w:t xml:space="preserve">Obligation de transparence sur les contenus générés par IA</w:t>
      </w:r>
    </w:p>
    <w:p>
      <w:pPr>
        <w:pStyle w:val="ListParagraph"/>
        <w:numPr>
          <w:ilvl w:val="0"/>
          <w:numId w:val="2"/>
        </w:numPr>
        <w:spacing w:after="80"/>
      </w:pPr>
      <w:r>
        <w:t xml:space="preserve">Marquage obligatoire des deepfakes</w:t>
      </w:r>
    </w:p>
    <w:p>
      <w:pPr>
        <w:spacing w:after="120"/>
      </w:pPr>
      <w:r>
        <w:rPr>
          <w:b/>
          <w:bCs/>
        </w:rPr>
        <w:t xml:space="preserve">Conséquence pour Questia : </w:t>
      </w:r>
      <w:r>
        <w:t xml:space="preserve">déclarer dans le pitch que Questia est "AI Act compliant" devient un argument différenciant. À terme, c'est un avantage régulateur.</w:t>
      </w:r>
    </w:p>
    <w:p>
      <w:r>
        <w:br w:type="page"/>
      </w:r>
    </w:p>
    <w:p>
      <w:pPr>
        <w:pStyle w:val="Heading1"/>
        <w:pBdr>
          <w:bottom w:val="single" w:color="00A8C8" w:sz="12" w:space="4"/>
        </w:pBdr>
        <w:spacing w:after="200" w:before="360"/>
      </w:pPr>
      <w:r>
        <w:rPr>
          <w:b/>
          <w:bCs/>
          <w:color w:val="0A0E18"/>
        </w:rPr>
        <w:t xml:space="preserve">6. Trois profils d'enseignants face à l'IA</w:t>
      </w:r>
    </w:p>
    <w:p>
      <w:pPr>
        <w:spacing w:after="120"/>
        <w:jc w:val="left"/>
      </w:pPr>
      <w:r>
        <w:t xml:space="preserve">L'analyse des sources montre que les enseignants ne sont pas un bloc homogène. On peut identifier trois profils-types qui demandent des stratégies commerciales différentes :</w:t>
      </w:r>
    </w:p>
    <w:p>
      <w:pPr>
        <w:pStyle w:val="Heading2"/>
        <w:spacing w:after="140" w:before="280"/>
      </w:pPr>
      <w:r>
        <w:rPr>
          <w:b/>
          <w:bCs/>
          <w:color w:val="00A8C8"/>
        </w:rPr>
        <w:t xml:space="preserve">Profil A — L'enthousiaste pionnier (~20-25%)</w:t>
      </w:r>
    </w:p>
    <w:p>
      <w:pPr>
        <w:spacing w:after="120"/>
      </w:pPr>
      <w:r>
        <w:rPr>
          <w:b/>
          <w:bCs/>
        </w:rPr>
        <w:t xml:space="preserve">Caractéristiques : </w:t>
      </w:r>
      <w:r>
        <w:t xml:space="preserve">déjà utilisateur de ChatGPT, Claude, ou Gemini. A modifié sa pédagogie, intègre l'IA dans les devoirs (« utilise ChatGPT après avoir réalisé eux-mêmes le travail », André Tricot).</w:t>
      </w:r>
    </w:p>
    <w:p>
      <w:pPr>
        <w:spacing w:after="120"/>
      </w:pPr>
      <w:r>
        <w:rPr>
          <w:b/>
          <w:bCs/>
        </w:rPr>
        <w:t xml:space="preserve">Comportement d'achat : </w:t>
      </w:r>
      <w:r>
        <w:t xml:space="preserve">veut TESTER vite, juge sur la démo, accepte de payer s'il voit la valeur.</w:t>
      </w:r>
    </w:p>
    <w:p>
      <w:pPr>
        <w:spacing w:after="120"/>
      </w:pPr>
      <w:r>
        <w:rPr>
          <w:b/>
          <w:bCs/>
        </w:rPr>
        <w:t xml:space="preserve">Stratégie commerciale Questia : </w:t>
      </w:r>
      <w:r>
        <w:t xml:space="preserve">démo gratuite immédiate, processus d'achat simple. Ces enseignants seront tes premiers ambassadeurs (5-10 dans le pilote).</w:t>
      </w:r>
    </w:p>
    <w:p>
      <w:pPr>
        <w:pStyle w:val="Heading2"/>
        <w:spacing w:after="140" w:before="280"/>
      </w:pPr>
      <w:r>
        <w:rPr>
          <w:b/>
          <w:bCs/>
          <w:color w:val="00A8C8"/>
        </w:rPr>
        <w:t xml:space="preserve">Profil B — L'attentiste prudent (~50-60%)</w:t>
      </w:r>
    </w:p>
    <w:p>
      <w:pPr>
        <w:spacing w:after="120"/>
      </w:pPr>
      <w:r>
        <w:rPr>
          <w:b/>
          <w:bCs/>
        </w:rPr>
        <w:t xml:space="preserve">Caractéristiques : </w:t>
      </w:r>
      <w:r>
        <w:t xml:space="preserve">a entendu parler de l'IA, l'a peut-être testée 1-2 fois, mais n'a pas changé sa pédagogie. Souhaite être formé (56% selon Slate.fr 2026) mais ne sait pas par où commencer.</w:t>
      </w:r>
    </w:p>
    <w:p>
      <w:pPr>
        <w:spacing w:after="120"/>
      </w:pPr>
      <w:r>
        <w:rPr>
          <w:b/>
          <w:bCs/>
        </w:rPr>
        <w:t xml:space="preserve">Comportement d'achat : </w:t>
      </w:r>
      <w:r>
        <w:t xml:space="preserve">veut être rassuré. Demande des cas d'usage concrets, des références, du support. Achat plus lent, processus à étapes.</w:t>
      </w:r>
    </w:p>
    <w:p>
      <w:pPr>
        <w:spacing w:after="120"/>
      </w:pPr>
      <w:r>
        <w:rPr>
          <w:b/>
          <w:bCs/>
        </w:rPr>
        <w:t xml:space="preserve">Stratégie commerciale Questia : </w:t>
      </w:r>
      <w:r>
        <w:t xml:space="preserve">webinaires d'introduction, études de cas, accompagnement humain (Customer Success), période d'essai longue. C'est ton segment de masse à 12-18 mois.</w:t>
      </w:r>
    </w:p>
    <w:p>
      <w:pPr>
        <w:pStyle w:val="Heading2"/>
        <w:spacing w:after="140" w:before="280"/>
      </w:pPr>
      <w:r>
        <w:rPr>
          <w:b/>
          <w:bCs/>
          <w:color w:val="00A8C8"/>
        </w:rPr>
        <w:t xml:space="preserve">Profil C — Le réfractaire critique (~15-25%)</w:t>
      </w:r>
    </w:p>
    <w:p>
      <w:pPr>
        <w:spacing w:after="120"/>
      </w:pPr>
      <w:r>
        <w:rPr>
          <w:b/>
          <w:bCs/>
        </w:rPr>
        <w:t xml:space="preserve">Caractéristiques : </w:t>
      </w:r>
      <w:r>
        <w:t xml:space="preserve">Hostile pour des raisons pédagogiques, philosophiques ou idéologiques. Voit l'IA comme une menace pour l'esprit critique, l'intégrité académique, le métier d'enseignant. Position incarnée par Jean-Rémi Girard (Snalc) : « C'est important que les apprenants soient capables d'agir sans ces outils ».</w:t>
      </w:r>
    </w:p>
    <w:p>
      <w:pPr>
        <w:spacing w:after="120"/>
      </w:pPr>
      <w:r>
        <w:rPr>
          <w:b/>
          <w:bCs/>
        </w:rPr>
        <w:t xml:space="preserve">Comportement d'achat : </w:t>
      </w:r>
      <w:r>
        <w:t xml:space="preserve">ne sera pas converti par une démo. Argument fonctionnel inutile.</w:t>
      </w:r>
    </w:p>
    <w:p>
      <w:pPr>
        <w:spacing w:after="120"/>
      </w:pPr>
      <w:r>
        <w:rPr>
          <w:b/>
          <w:bCs/>
        </w:rPr>
        <w:t xml:space="preserve">Stratégie commerciale Questia : </w:t>
      </w:r>
      <w:r>
        <w:t xml:space="preserve">NE PAS chercher à les convaincre. Concentrer l'énergie sur les profils A et B. Les réfractaires changeront éventuellement quand leur établissement aura adopté Questia et qu'ils verront les résultats. Ne jamais entrer en conflit frontal.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E2" w:sz="8"/>
              <w:left w:val="single" w:color="4A90E2" w:sz="8"/>
              <w:bottom w:val="single" w:color="4A90E2" w:sz="8"/>
              <w:right w:val="single" w:color="4A90E2" w:sz="8"/>
            </w:tcBorders>
            <w:shd w:fill="E8F4FF" w:val="clear"/>
            <w:tcMar>
              <w:top w:type="dxa" w:w="200"/>
              <w:left w:type="dxa" w:w="240"/>
              <w:bottom w:type="dxa" w:w="200"/>
              <w:right w:type="dxa" w:w="240"/>
            </w:tcMar>
          </w:tcPr>
          <w:p>
            <w:pPr>
              <w:spacing w:after="100"/>
            </w:pPr>
            <w:r>
              <w:rPr>
                <w:b/>
                <w:bCs/>
                <w:color w:val="0A0E18"/>
                <w:sz w:val="22"/>
                <w:szCs w:val="22"/>
              </w:rPr>
              <w:t xml:space="preserve">💡 Implication directe pour la stratégie commerciale</w:t>
            </w:r>
          </w:p>
          <w:p>
            <w:pPr>
              <w:spacing w:after="80"/>
            </w:pPr>
            <w:r>
              <w:rPr>
                <w:sz w:val="20"/>
                <w:szCs w:val="20"/>
              </w:rPr>
              <w:t xml:space="preserve">Sur les 100 directions pédagogiques que tu vas démarcher :</w:t>
            </w:r>
          </w:p>
          <w:p>
            <w:pPr>
              <w:spacing w:after="80"/>
            </w:pPr>
            <w:r>
              <w:rPr>
                <w:sz w:val="20"/>
                <w:szCs w:val="20"/>
              </w:rPr>
              <w:t xml:space="preserve">• 20-25 signeront vite avec un bon pitch (profil A)</w:t>
            </w:r>
          </w:p>
          <w:p>
            <w:pPr>
              <w:spacing w:after="80"/>
            </w:pPr>
            <w:r>
              <w:rPr>
                <w:sz w:val="20"/>
                <w:szCs w:val="20"/>
              </w:rPr>
              <w:t xml:space="preserve">• 50-60 signeront en 3-9 mois avec accompagnement (profil B)</w:t>
            </w:r>
          </w:p>
          <w:p>
            <w:pPr>
              <w:spacing w:after="80"/>
            </w:pPr>
            <w:r>
              <w:rPr>
                <w:sz w:val="20"/>
                <w:szCs w:val="20"/>
              </w:rPr>
              <w:t xml:space="preserve">• 15-25 ne signeront jamais — passe ton chemin (profil C)</w:t>
            </w:r>
          </w:p>
          <w:p>
            <w:pPr>
              <w:spacing w:after="80"/>
            </w:pPr>
            <w:r>
              <w:rPr>
                <w:sz w:val="20"/>
                <w:szCs w:val="20"/>
              </w:rPr>
              <w:t xml:space="preserve">Donc ton taux de conversion réaliste est entre 70-85%, à condition de filtrer les profils C en amont.</w:t>
            </w:r>
          </w:p>
        </w:tc>
      </w:tr>
    </w:tbl>
    <w:p>
      <w:r>
        <w:br w:type="page"/>
      </w:r>
    </w:p>
    <w:p>
      <w:pPr>
        <w:pStyle w:val="Heading1"/>
        <w:pBdr>
          <w:bottom w:val="single" w:color="00A8C8" w:sz="12" w:space="4"/>
        </w:pBdr>
        <w:spacing w:after="200" w:before="360"/>
      </w:pPr>
      <w:r>
        <w:rPr>
          <w:b/>
          <w:bCs/>
          <w:color w:val="0A0E18"/>
        </w:rPr>
        <w:t xml:space="preserve">7. Implications stratégiques pour Questia</w:t>
      </w:r>
    </w:p>
    <w:p>
      <w:pPr>
        <w:pStyle w:val="Heading2"/>
        <w:spacing w:after="140" w:before="280"/>
      </w:pPr>
      <w:r>
        <w:rPr>
          <w:b/>
          <w:bCs/>
          <w:color w:val="00A8C8"/>
        </w:rPr>
        <w:t xml:space="preserve">7.1 — Renforcer le positionnement « IA scénarisée et bornée »</w:t>
      </w:r>
    </w:p>
    <w:p>
      <w:pPr>
        <w:spacing w:after="120"/>
        <w:jc w:val="left"/>
      </w:pPr>
      <w:r>
        <w:t xml:space="preserve">L'écart majeur entre l'usage massif de ChatGPT par les apprenants et la méfiance des enseignants ouvre une fenêtre claire pour Questia :</w:t>
      </w:r>
    </w:p>
    <w:p>
      <w:pPr>
        <w:pStyle w:val="ListParagraph"/>
        <w:numPr>
          <w:ilvl w:val="0"/>
          <w:numId w:val="2"/>
        </w:numPr>
        <w:spacing w:after="80"/>
      </w:pPr>
      <w:r>
        <w:t xml:space="preserve">Ne PAS se positionner comme "un autre ChatGPT" — ce serait suicidaire commercialement</w:t>
      </w:r>
    </w:p>
    <w:p>
      <w:pPr>
        <w:pStyle w:val="ListParagraph"/>
        <w:numPr>
          <w:ilvl w:val="0"/>
          <w:numId w:val="2"/>
        </w:numPr>
        <w:spacing w:after="80"/>
      </w:pPr>
      <w:r>
        <w:t xml:space="preserve">Se positionner comme "l'IA pédagogique scénarisée, opposée au ChatGPT générique"</w:t>
      </w:r>
    </w:p>
    <w:p>
      <w:pPr>
        <w:pStyle w:val="ListParagraph"/>
        <w:numPr>
          <w:ilvl w:val="0"/>
          <w:numId w:val="2"/>
        </w:numPr>
        <w:spacing w:after="80"/>
      </w:pPr>
      <w:r>
        <w:t xml:space="preserve">Insister sur le contrôle du formateur (assigne, supervise, voit les rapports)</w:t>
      </w:r>
    </w:p>
    <w:p>
      <w:pPr>
        <w:pStyle w:val="ListParagraph"/>
        <w:numPr>
          <w:ilvl w:val="0"/>
          <w:numId w:val="2"/>
        </w:numPr>
        <w:spacing w:after="80"/>
      </w:pPr>
      <w:r>
        <w:t xml:space="preserve">Insister sur la traçabilité (tout est documenté pour Qualiopi)</w:t>
      </w:r>
    </w:p>
    <w:p>
      <w:pPr>
        <w:pStyle w:val="Heading2"/>
        <w:spacing w:after="140" w:before="280"/>
      </w:pPr>
      <w:r>
        <w:rPr>
          <w:b/>
          <w:bCs/>
          <w:color w:val="00A8C8"/>
        </w:rPr>
        <w:t xml:space="preserve">7.2 — Investir dans la formation des formateurs</w:t>
      </w:r>
    </w:p>
    <w:p>
      <w:pPr>
        <w:spacing w:after="120"/>
        <w:jc w:val="left"/>
      </w:pPr>
      <w:r>
        <w:t xml:space="preserve">Avec 70% des enseignants non formés à l'IA, le levier d'adoption n°1 est l'accompagnement. Concrètement :</w:t>
      </w:r>
    </w:p>
    <w:p>
      <w:pPr>
        <w:pStyle w:val="ListParagraph"/>
        <w:numPr>
          <w:ilvl w:val="0"/>
          <w:numId w:val="2"/>
        </w:numPr>
        <w:spacing w:after="80"/>
      </w:pPr>
      <w:r>
        <w:t xml:space="preserve">Onboarding formateur en 30 minutes (vidéos courtes, scénario test)</w:t>
      </w:r>
    </w:p>
    <w:p>
      <w:pPr>
        <w:pStyle w:val="ListParagraph"/>
        <w:numPr>
          <w:ilvl w:val="0"/>
          <w:numId w:val="2"/>
        </w:numPr>
        <w:spacing w:after="80"/>
      </w:pPr>
      <w:r>
        <w:t xml:space="preserve">Webinaires mensuels « Questia for trainers »</w:t>
      </w:r>
    </w:p>
    <w:p>
      <w:pPr>
        <w:pStyle w:val="ListParagraph"/>
        <w:numPr>
          <w:ilvl w:val="0"/>
          <w:numId w:val="2"/>
        </w:numPr>
        <w:spacing w:after="80"/>
      </w:pPr>
      <w:r>
        <w:t xml:space="preserve">Guide PDF "Mes 10 premières missions Questia"</w:t>
      </w:r>
    </w:p>
    <w:p>
      <w:pPr>
        <w:pStyle w:val="ListParagraph"/>
        <w:numPr>
          <w:ilvl w:val="0"/>
          <w:numId w:val="2"/>
        </w:numPr>
        <w:spacing w:after="80"/>
      </w:pPr>
      <w:r>
        <w:t xml:space="preserve">Communauté formateurs (Slack privé)</w:t>
      </w:r>
    </w:p>
    <w:p>
      <w:pPr>
        <w:pStyle w:val="ListParagraph"/>
        <w:numPr>
          <w:ilvl w:val="0"/>
          <w:numId w:val="2"/>
        </w:numPr>
        <w:spacing w:after="80"/>
      </w:pPr>
      <w:r>
        <w:t xml:space="preserve">Customer Success Manager pendant 60 jours</w:t>
      </w:r>
    </w:p>
    <w:p>
      <w:pPr>
        <w:pStyle w:val="Heading2"/>
        <w:spacing w:after="140" w:before="280"/>
      </w:pPr>
      <w:r>
        <w:rPr>
          <w:b/>
          <w:bCs/>
          <w:color w:val="00A8C8"/>
        </w:rPr>
        <w:t xml:space="preserve">7.3 — Accélérer la certification Qualiopi</w:t>
      </w:r>
    </w:p>
    <w:p>
      <w:pPr>
        <w:spacing w:after="120"/>
        <w:jc w:val="left"/>
      </w:pPr>
      <w:r>
        <w:t xml:space="preserve">Avec la réforme RNQ 2025, les outils IA non formalisés deviennent un risque pour les OF. Questia doit :</w:t>
      </w:r>
    </w:p>
    <w:p>
      <w:pPr>
        <w:pStyle w:val="ListParagraph"/>
        <w:numPr>
          <w:ilvl w:val="0"/>
          <w:numId w:val="2"/>
        </w:numPr>
        <w:spacing w:after="80"/>
      </w:pPr>
      <w:r>
        <w:t xml:space="preserve">Démarrer le dossier Qualiopi en parallèle de la phase pilote</w:t>
      </w:r>
    </w:p>
    <w:p>
      <w:pPr>
        <w:pStyle w:val="ListParagraph"/>
        <w:numPr>
          <w:ilvl w:val="0"/>
          <w:numId w:val="2"/>
        </w:numPr>
        <w:spacing w:after="80"/>
      </w:pPr>
      <w:r>
        <w:t xml:space="preserve">Viser certification Q3 2026 (déjà annoncé sur la landing)</w:t>
      </w:r>
    </w:p>
    <w:p>
      <w:pPr>
        <w:pStyle w:val="ListParagraph"/>
        <w:numPr>
          <w:ilvl w:val="0"/>
          <w:numId w:val="2"/>
        </w:numPr>
        <w:spacing w:after="80"/>
      </w:pPr>
      <w:r>
        <w:t xml:space="preserve">Proposer aux OF Qualiopi un "kit de formalisation" (texte type pour leur indicateur 17, exemple de description pour leur catalogue)</w:t>
      </w:r>
    </w:p>
    <w:p>
      <w:pPr>
        <w:pStyle w:val="Heading2"/>
        <w:spacing w:after="140" w:before="280"/>
      </w:pPr>
      <w:r>
        <w:rPr>
          <w:b/>
          <w:bCs/>
          <w:color w:val="00A8C8"/>
        </w:rPr>
        <w:t xml:space="preserve">7.4 — Positionner sur la souveraineté numérique</w:t>
      </w:r>
    </w:p>
    <w:p>
      <w:pPr>
        <w:spacing w:after="120"/>
        <w:jc w:val="left"/>
      </w:pPr>
      <w:r>
        <w:t xml:space="preserve">L'argument "alternative européenne aux outils américains" est sous-exploité par les concurrents. Questia peut le porter :</w:t>
      </w:r>
    </w:p>
    <w:p>
      <w:pPr>
        <w:pStyle w:val="ListParagraph"/>
        <w:numPr>
          <w:ilvl w:val="0"/>
          <w:numId w:val="2"/>
        </w:numPr>
        <w:spacing w:after="80"/>
      </w:pPr>
      <w:r>
        <w:t xml:space="preserve">Hébergement OVH ou IONOS (européen)</w:t>
      </w:r>
    </w:p>
    <w:p>
      <w:pPr>
        <w:pStyle w:val="ListParagraph"/>
        <w:numPr>
          <w:ilvl w:val="0"/>
          <w:numId w:val="2"/>
        </w:numPr>
        <w:spacing w:after="80"/>
      </w:pPr>
      <w:r>
        <w:t xml:space="preserve">Mention RGPD-by-design dans le pitch</w:t>
      </w:r>
    </w:p>
    <w:p>
      <w:pPr>
        <w:pStyle w:val="ListParagraph"/>
        <w:numPr>
          <w:ilvl w:val="0"/>
          <w:numId w:val="2"/>
        </w:numPr>
        <w:spacing w:after="80"/>
      </w:pPr>
      <w:r>
        <w:t xml:space="preserve">Mentionner l'AI Act compliance</w:t>
      </w:r>
    </w:p>
    <w:p>
      <w:pPr>
        <w:pStyle w:val="ListParagraph"/>
        <w:numPr>
          <w:ilvl w:val="0"/>
          <w:numId w:val="2"/>
        </w:numPr>
        <w:spacing w:after="80"/>
      </w:pPr>
      <w:r>
        <w:t xml:space="preserve">Politique de confidentialité claire et accessible</w:t>
      </w:r>
    </w:p>
    <w:p>
      <w:pPr>
        <w:pStyle w:val="Heading2"/>
        <w:spacing w:after="140" w:before="280"/>
      </w:pPr>
      <w:r>
        <w:rPr>
          <w:b/>
          <w:bCs/>
          <w:color w:val="00A8C8"/>
        </w:rPr>
        <w:t xml:space="preserve">7.5 — Documenter une étude pilote MAINTENANT</w:t>
      </w:r>
    </w:p>
    <w:p>
      <w:pPr>
        <w:spacing w:after="120"/>
        <w:jc w:val="left"/>
      </w:pPr>
      <w:r>
        <w:t xml:space="preserve">Le frein 6 (preuve absente) est rédhibitoire face aux acheteurs sérieux. C'est l'action prioritaire avant les premiers pitches payants.</w:t>
      </w:r>
    </w:p>
    <w:p>
      <w:pPr>
        <w:pStyle w:val="ListParagraph"/>
        <w:numPr>
          <w:ilvl w:val="0"/>
          <w:numId w:val="2"/>
        </w:numPr>
        <w:spacing w:after="80"/>
      </w:pPr>
      <w:r>
        <w:t xml:space="preserve">Recruter 8 personnes bénévoles (étudiants ou pros)</w:t>
      </w:r>
    </w:p>
    <w:p>
      <w:pPr>
        <w:pStyle w:val="ListParagraph"/>
        <w:numPr>
          <w:ilvl w:val="0"/>
          <w:numId w:val="2"/>
        </w:numPr>
        <w:spacing w:after="80"/>
      </w:pPr>
      <w:r>
        <w:t xml:space="preserve">Pré-test CECRL (Cambridge gratuit ou test en ligne)</w:t>
      </w:r>
    </w:p>
    <w:p>
      <w:pPr>
        <w:pStyle w:val="ListParagraph"/>
        <w:numPr>
          <w:ilvl w:val="0"/>
          <w:numId w:val="2"/>
        </w:numPr>
        <w:spacing w:after="80"/>
      </w:pPr>
      <w:r>
        <w:t xml:space="preserve">Parcours Questia 4 semaines, 30 min/jour</w:t>
      </w:r>
    </w:p>
    <w:p>
      <w:pPr>
        <w:pStyle w:val="ListParagraph"/>
        <w:numPr>
          <w:ilvl w:val="0"/>
          <w:numId w:val="2"/>
        </w:numPr>
        <w:spacing w:after="80"/>
      </w:pPr>
      <w:r>
        <w:t xml:space="preserve">Post-test CECRL</w:t>
      </w:r>
    </w:p>
    <w:p>
      <w:pPr>
        <w:pStyle w:val="ListParagraph"/>
        <w:numPr>
          <w:ilvl w:val="0"/>
          <w:numId w:val="2"/>
        </w:numPr>
        <w:spacing w:after="80"/>
      </w:pPr>
      <w:r>
        <w:t xml:space="preserve">Documenter le protocole, les résultats, les retours qualitatifs</w:t>
      </w:r>
    </w:p>
    <w:p>
      <w:pPr>
        <w:pStyle w:val="ListParagraph"/>
        <w:numPr>
          <w:ilvl w:val="0"/>
          <w:numId w:val="2"/>
        </w:numPr>
        <w:spacing w:after="80"/>
      </w:pPr>
      <w:r>
        <w:t xml:space="preserve">Publier en PDF accessible depuis la landing</w:t>
      </w:r>
    </w:p>
    <w:p>
      <w:r>
        <w:br w:type="page"/>
      </w:r>
    </w:p>
    <w:p>
      <w:pPr>
        <w:pStyle w:val="Heading1"/>
        <w:pBdr>
          <w:bottom w:val="single" w:color="00A8C8" w:sz="12" w:space="4"/>
        </w:pBdr>
        <w:spacing w:after="200" w:before="360"/>
      </w:pPr>
      <w:r>
        <w:rPr>
          <w:b/>
          <w:bCs/>
          <w:color w:val="0A0E18"/>
        </w:rPr>
        <w:t xml:space="preserve">8. Recommandations concrètes pour le pitch</w:t>
      </w:r>
    </w:p>
    <w:p>
      <w:pPr>
        <w:spacing w:after="120"/>
        <w:jc w:val="left"/>
      </w:pPr>
      <w:r>
        <w:t xml:space="preserve">Synthèse des messages-clés à intégrer dans tout pitch commercial Questia, en cohérence avec cette étude marché.</w:t>
      </w:r>
    </w:p>
    <w:p>
      <w:pPr>
        <w:pStyle w:val="Heading2"/>
        <w:spacing w:after="140" w:before="280"/>
      </w:pPr>
      <w:r>
        <w:rPr>
          <w:b/>
          <w:bCs/>
          <w:color w:val="00A8C8"/>
        </w:rPr>
        <w:t xml:space="preserve">Messages à AJOUTER dans la landing et les pitches</w:t>
      </w:r>
    </w:p>
    <w:p>
      <w:pPr>
        <w:pStyle w:val="ListParagraph"/>
        <w:numPr>
          <w:ilvl w:val="0"/>
          <w:numId w:val="2"/>
        </w:numPr>
        <w:spacing w:after="80"/>
      </w:pPr>
      <w:r>
        <w:t xml:space="preserve">« Questia est l'IA pédagogique scénarisée, pas un ChatGPT générique. Vos apprenants restent dans un cadre pédagogique borné, vos formateurs gardent le contrôle. »</w:t>
      </w:r>
    </w:p>
    <w:p>
      <w:pPr>
        <w:pStyle w:val="ListParagraph"/>
        <w:numPr>
          <w:ilvl w:val="0"/>
          <w:numId w:val="2"/>
        </w:numPr>
        <w:spacing w:after="80"/>
      </w:pPr>
      <w:r>
        <w:t xml:space="preserve">« 99% de vos apprenants utilisent déjà ChatGPT pour leurs devoirs. La question n'est plus si l'IA entre dans votre établissement, mais comment vous la cadrez. »</w:t>
      </w:r>
    </w:p>
    <w:p>
      <w:pPr>
        <w:pStyle w:val="ListParagraph"/>
        <w:numPr>
          <w:ilvl w:val="0"/>
          <w:numId w:val="2"/>
        </w:numPr>
        <w:spacing w:after="80"/>
      </w:pPr>
      <w:r>
        <w:t xml:space="preserve">« Avec Questia, votre usage IA est documenté, traçable et prêt pour votre prochain audit Qualiopi (réforme RNQ 2025). »</w:t>
      </w:r>
    </w:p>
    <w:p>
      <w:pPr>
        <w:pStyle w:val="ListParagraph"/>
        <w:numPr>
          <w:ilvl w:val="0"/>
          <w:numId w:val="2"/>
        </w:numPr>
        <w:spacing w:after="80"/>
      </w:pPr>
      <w:r>
        <w:t xml:space="preserve">« Hébergement européen, RGPD-by-design, AI Act compliant. Une alternative française au tout-américain. »</w:t>
      </w:r>
    </w:p>
    <w:p>
      <w:pPr>
        <w:pStyle w:val="ListParagraph"/>
        <w:numPr>
          <w:ilvl w:val="0"/>
          <w:numId w:val="2"/>
        </w:numPr>
        <w:spacing w:after="80"/>
      </w:pPr>
      <w:r>
        <w:t xml:space="preserve">« Le formateur reste le maître de cérémonie. Questia est un outil d'entraînement, pas d'évaluation finale. »</w:t>
      </w:r>
    </w:p>
    <w:p>
      <w:pPr>
        <w:pStyle w:val="Heading2"/>
        <w:spacing w:after="140" w:before="280"/>
      </w:pPr>
      <w:r>
        <w:rPr>
          <w:b/>
          <w:bCs/>
          <w:color w:val="00A8C8"/>
        </w:rPr>
        <w:t xml:space="preserve">Messages à ÉVITER dans le pitch</w:t>
      </w:r>
    </w:p>
    <w:p>
      <w:pPr>
        <w:pStyle w:val="ListParagraph"/>
        <w:numPr>
          <w:ilvl w:val="0"/>
          <w:numId w:val="2"/>
        </w:numPr>
        <w:spacing w:after="80"/>
      </w:pPr>
      <w:r>
        <w:t xml:space="preserve">« Questia remplace votre prof » → réveille les peurs, mauvais argument B2B</w:t>
      </w:r>
    </w:p>
    <w:p>
      <w:pPr>
        <w:pStyle w:val="ListParagraph"/>
        <w:numPr>
          <w:ilvl w:val="0"/>
          <w:numId w:val="2"/>
        </w:numPr>
        <w:spacing w:after="80"/>
      </w:pPr>
      <w:r>
        <w:t xml:space="preserve">« Comme ChatGPT mais pour les langues » → vulgarise et inquiète à la fois</w:t>
      </w:r>
    </w:p>
    <w:p>
      <w:pPr>
        <w:pStyle w:val="ListParagraph"/>
        <w:numPr>
          <w:ilvl w:val="0"/>
          <w:numId w:val="2"/>
        </w:numPr>
        <w:spacing w:after="80"/>
      </w:pPr>
      <w:r>
        <w:t xml:space="preserve">« +0,4 niveau CECRL en 4 semaines » → tant que non mesuré, ne pas le mettre en avant</w:t>
      </w:r>
    </w:p>
    <w:p>
      <w:pPr>
        <w:pStyle w:val="ListParagraph"/>
        <w:numPr>
          <w:ilvl w:val="0"/>
          <w:numId w:val="2"/>
        </w:numPr>
        <w:spacing w:after="80"/>
      </w:pPr>
      <w:r>
        <w:t xml:space="preserve">« 100% IA, pas besoin de prof » → idéologiquement incompatible avec ton public B2B éducation</w:t>
      </w:r>
    </w:p>
    <w:p>
      <w:pPr>
        <w:pStyle w:val="Heading2"/>
        <w:spacing w:after="140" w:before="280"/>
      </w:pPr>
      <w:r>
        <w:rPr>
          <w:b/>
          <w:bCs/>
          <w:color w:val="00A8C8"/>
        </w:rPr>
        <w:t xml:space="preserve">Argumentaire selon le profil rencontré</w:t>
      </w:r>
    </w:p>
    <w:p>
      <w:pPr>
        <w:pStyle w:val="Heading3"/>
        <w:spacing w:after="100" w:before="200"/>
      </w:pPr>
      <w:r>
        <w:rPr>
          <w:b/>
          <w:bCs/>
          <w:color w:val="0A0E18"/>
        </w:rPr>
        <w:t xml:space="preserve">Si l'interlocuteur est un enthousiaste pionnier (profil A)</w:t>
      </w:r>
    </w:p>
    <w:p>
      <w:pPr>
        <w:spacing w:after="120"/>
        <w:jc w:val="left"/>
      </w:pPr>
      <w:r>
        <w:t xml:space="preserve">Aller vite à la démo. Insister sur la flexibilité, la possibilité de créer ses propres scénarios, le mode groupe avec Coach Maya. Conclure par une offre pilote gratuit 4 semaines.</w:t>
      </w:r>
    </w:p>
    <w:p>
      <w:pPr>
        <w:pStyle w:val="Heading3"/>
        <w:spacing w:after="100" w:before="200"/>
      </w:pPr>
      <w:r>
        <w:rPr>
          <w:b/>
          <w:bCs/>
          <w:color w:val="0A0E18"/>
        </w:rPr>
        <w:t xml:space="preserve">Si l'interlocuteur est un attentiste prudent (profil B)</w:t>
      </w:r>
    </w:p>
    <w:p>
      <w:pPr>
        <w:spacing w:after="120"/>
        <w:jc w:val="left"/>
      </w:pPr>
      <w:r>
        <w:t xml:space="preserve">Pas de démo immédiate. Commencer par un cadrage "d'où vient l'IA dans votre cas". Proposer un webinaire de 30 min pour ses équipes. Donner accès à des études de cas (quand elles existeront). Inclure la mention Qualiopi-ready.</w:t>
      </w:r>
    </w:p>
    <w:p>
      <w:pPr>
        <w:pStyle w:val="Heading3"/>
        <w:spacing w:after="100" w:before="200"/>
      </w:pPr>
      <w:r>
        <w:rPr>
          <w:b/>
          <w:bCs/>
          <w:color w:val="0A0E18"/>
        </w:rPr>
        <w:t xml:space="preserve">Si l'interlocuteur est un réfractaire critique (profil C)</w:t>
      </w:r>
    </w:p>
    <w:p>
      <w:pPr>
        <w:spacing w:after="120"/>
        <w:jc w:val="left"/>
      </w:pPr>
      <w:r>
        <w:t xml:space="preserve">Ne pas insister. Reconnaître les limites (« je comprends votre prudence »). Proposer un point dans 6 mois. Ne pas brûler le pont — un jour son établissement adoptera Questia et il pourrait basculer.</w:t>
      </w:r>
    </w:p>
    <w:p>
      <w:pPr>
        <w:pStyle w:val="Heading2"/>
        <w:spacing w:after="140" w:before="280"/>
      </w:pPr>
      <w:r>
        <w:rPr>
          <w:b/>
          <w:bCs/>
          <w:color w:val="00A8C8"/>
        </w:rPr>
        <w:t xml:space="preserve">Tableau de réponses aux objections classiques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Objection</w:t>
            </w:r>
          </w:p>
        </w:tc>
        <w:tc>
          <w:tcPr>
            <w:tcW w:type="dxa" w:w="50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Réponse Questia</w:t>
            </w:r>
          </w:p>
        </w:tc>
      </w:tr>
      <w:tr>
        <w:tc>
          <w:tcPr>
            <w:tcW w:type="dxa" w:w="4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7B5CFF"/>
                <w:sz w:val="20"/>
                <w:szCs w:val="20"/>
              </w:rPr>
              <w:t xml:space="preserve">« L'IA va abrutir mes apprenants »</w:t>
            </w:r>
          </w:p>
        </w:tc>
        <w:tc>
          <w:tcPr>
            <w:tcW w:type="dxa" w:w="5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18"/>
                <w:szCs w:val="18"/>
              </w:rPr>
              <w:t xml:space="preserve">Questia force l'apprenant à parler activement. L'IA ne fait pas le travail à sa place — c'est l'apprenant qui doit construire ses réponses dans la langue cible. Et le formateur garde le contrôle pédagogique.</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7B5CFF"/>
                <w:sz w:val="20"/>
                <w:szCs w:val="20"/>
              </w:rPr>
              <w:t xml:space="preserve">« On a déjà ChatGPT, c'est gratuit »</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18"/>
                <w:szCs w:val="18"/>
              </w:rPr>
              <w:t xml:space="preserve">ChatGPT est générique. Questia est scénarisé pour la pédagogie pro avec 11 contextes B2B (procurement Berlin, kickoff Madrid, keigo Tokyo), un alignement CECRL mesuré, et un cadre Qualiopi documenté.</w:t>
            </w:r>
          </w:p>
        </w:tc>
      </w:tr>
      <w:tr>
        <w:tc>
          <w:tcPr>
            <w:tcW w:type="dxa" w:w="4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7B5CFF"/>
                <w:sz w:val="20"/>
                <w:szCs w:val="20"/>
              </w:rPr>
              <w:t xml:space="preserve">« On n'a pas de budget IA »</w:t>
            </w:r>
          </w:p>
        </w:tc>
        <w:tc>
          <w:tcPr>
            <w:tcW w:type="dxa" w:w="5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18"/>
                <w:szCs w:val="18"/>
              </w:rPr>
              <w:t xml:space="preserve">Questia est éligible OPCO et plans de formation pour les OF Qualiopi (à partir Q3 2026). Pour une école sup, c'est budget pédagogique langues classique. Le ROI vs un séjour linguistique (3 000-5 000 €/cadre) est imbattable.</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7B5CFF"/>
                <w:sz w:val="20"/>
                <w:szCs w:val="20"/>
              </w:rPr>
              <w:t xml:space="preserve">« Comment vous protégez les données de mes apprenants ? »</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18"/>
                <w:szCs w:val="18"/>
              </w:rPr>
              <w:t xml:space="preserve">Hébergement OVH (européen), conformité RGPD-by-design, DPA fourni avec chaque contrat, aucune donnée revendue, AI Act compliant.</w:t>
            </w:r>
          </w:p>
        </w:tc>
      </w:tr>
      <w:tr>
        <w:tc>
          <w:tcPr>
            <w:tcW w:type="dxa" w:w="4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7B5CFF"/>
                <w:sz w:val="20"/>
                <w:szCs w:val="20"/>
              </w:rPr>
              <w:t xml:space="preserve">« Vous mesurez le gain CECRL comment ? »</w:t>
            </w:r>
          </w:p>
        </w:tc>
        <w:tc>
          <w:tcPr>
            <w:tcW w:type="dxa" w:w="5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18"/>
                <w:szCs w:val="18"/>
              </w:rPr>
              <w:t xml:space="preserve">Étude pilote en cours sur cohorte test, méthodologie publique, résultats partagés avec les partenaires fondateurs (à compléter dès qu'elle est faite).</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7B5CFF"/>
                <w:sz w:val="20"/>
                <w:szCs w:val="20"/>
              </w:rPr>
              <w:t xml:space="preserve">« Je ne sais pas utiliser ces outils »</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18"/>
                <w:szCs w:val="18"/>
              </w:rPr>
              <w:t xml:space="preserve">Onboarding formateur en 30 minutes, webinaires mensuels, guide "premières missions", Customer Success dédié pendant 60 jours.</w:t>
            </w:r>
          </w:p>
        </w:tc>
      </w:tr>
      <w:tr>
        <w:tc>
          <w:tcPr>
            <w:tcW w:type="dxa" w:w="4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7B5CFF"/>
                <w:sz w:val="20"/>
                <w:szCs w:val="20"/>
              </w:rPr>
              <w:t xml:space="preserve">« Mes apprenants n'ont pas tous un ordinateur »</w:t>
            </w:r>
          </w:p>
        </w:tc>
        <w:tc>
          <w:tcPr>
            <w:tcW w:type="dxa" w:w="50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18"/>
                <w:szCs w:val="18"/>
              </w:rPr>
              <w:t xml:space="preserve">Questia fonctionne sur navigateur, mobile, tablette. Pas d'installation. Compatible bas débit.</w:t>
            </w:r>
          </w:p>
        </w:tc>
      </w:tr>
      <w:t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7B5CFF"/>
                <w:sz w:val="20"/>
                <w:szCs w:val="20"/>
              </w:rPr>
              <w:t xml:space="preserve">« Et si Babbel / Talkpal sortent la même chose ? »</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18"/>
                <w:szCs w:val="18"/>
              </w:rPr>
              <w:t xml:space="preserve">Babbel ne peut pas obtenir Qualiopi (société allemande). Talkpal n'a pas de focus B2B, pas de scénarios pro, pas de mode groupe. La profondeur scénaristique de Questia (11 contextes B2B, keigo japonais) est non réplicable rapidement.</w:t>
            </w:r>
          </w:p>
        </w:tc>
      </w:tr>
    </w:tbl>
    <w:p>
      <w:r>
        <w:br w:type="page"/>
      </w:r>
    </w:p>
    <w:p>
      <w:pPr>
        <w:pStyle w:val="Heading1"/>
        <w:pBdr>
          <w:bottom w:val="single" w:color="00A8C8" w:sz="12" w:space="4"/>
        </w:pBdr>
        <w:spacing w:after="200" w:before="360"/>
      </w:pPr>
      <w:r>
        <w:rPr>
          <w:b/>
          <w:bCs/>
          <w:color w:val="0A0E18"/>
        </w:rPr>
        <w:t xml:space="preserve">9. Sources</w:t>
      </w:r>
    </w:p>
    <w:p>
      <w:pPr>
        <w:pStyle w:val="Heading2"/>
        <w:spacing w:after="140" w:before="280"/>
      </w:pPr>
      <w:r>
        <w:rPr>
          <w:b/>
          <w:bCs/>
          <w:color w:val="00A8C8"/>
        </w:rPr>
        <w:t xml:space="preserve">Études et baromètres France</w:t>
      </w:r>
    </w:p>
    <w:p>
      <w:pPr>
        <w:pStyle w:val="ListParagraph"/>
        <w:numPr>
          <w:ilvl w:val="0"/>
          <w:numId w:val="2"/>
        </w:numPr>
        <w:spacing w:after="80"/>
      </w:pPr>
      <w:r>
        <w:t xml:space="preserve">GoStudent (novembre 2025) : « 70 statistiques sur l'IA dans l'éducation en France 2025 », gostudent.org/fr-fr/blog/statistiques-sur-ia-dans-education-france</w:t>
      </w:r>
    </w:p>
    <w:p>
      <w:pPr>
        <w:pStyle w:val="ListParagraph"/>
        <w:numPr>
          <w:ilvl w:val="0"/>
          <w:numId w:val="2"/>
        </w:numPr>
        <w:spacing w:after="80"/>
      </w:pPr>
      <w:r>
        <w:t xml:space="preserve">Étude Léonard de Vinci x Talan (2025) : Adoption de l'IA générative chez étudiants supérieur français</w:t>
      </w:r>
    </w:p>
    <w:p>
      <w:pPr>
        <w:pStyle w:val="ListParagraph"/>
        <w:numPr>
          <w:ilvl w:val="0"/>
          <w:numId w:val="2"/>
        </w:numPr>
        <w:spacing w:after="80"/>
      </w:pPr>
      <w:r>
        <w:t xml:space="preserve">Centre Inffo (2025) : Baromètre de la formation professionnelle 2025</w:t>
      </w:r>
    </w:p>
    <w:p>
      <w:pPr>
        <w:pStyle w:val="ListParagraph"/>
        <w:numPr>
          <w:ilvl w:val="0"/>
          <w:numId w:val="2"/>
        </w:numPr>
        <w:spacing w:after="80"/>
      </w:pPr>
      <w:r>
        <w:t xml:space="preserve">Ministère de l'Éducation nationale (2025) : Études Direction de l'évaluation et de la prospective</w:t>
      </w:r>
    </w:p>
    <w:p>
      <w:pPr>
        <w:pStyle w:val="ListParagraph"/>
        <w:numPr>
          <w:ilvl w:val="0"/>
          <w:numId w:val="2"/>
        </w:numPr>
        <w:spacing w:after="80"/>
      </w:pPr>
      <w:r>
        <w:t xml:space="preserve">Académie de Paris (2025) : Données internes sur formation enseignants à l'IA</w:t>
      </w:r>
    </w:p>
    <w:p>
      <w:pPr>
        <w:pStyle w:val="Heading2"/>
        <w:spacing w:after="140" w:before="280"/>
      </w:pPr>
      <w:r>
        <w:rPr>
          <w:b/>
          <w:bCs/>
          <w:color w:val="00A8C8"/>
        </w:rPr>
        <w:t xml:space="preserve">Articles de presse et analyses</w:t>
      </w:r>
    </w:p>
    <w:p>
      <w:pPr>
        <w:pStyle w:val="ListParagraph"/>
        <w:numPr>
          <w:ilvl w:val="0"/>
          <w:numId w:val="2"/>
        </w:numPr>
        <w:spacing w:after="80"/>
      </w:pPr>
      <w:r>
        <w:t xml:space="preserve">Slate.fr (janvier 2026) : « Un avant et un après l'arrivée de l'IA : comment les enseignants français s'adaptent en classe »</w:t>
      </w:r>
    </w:p>
    <w:p>
      <w:pPr>
        <w:pStyle w:val="ListParagraph"/>
        <w:numPr>
          <w:ilvl w:val="0"/>
          <w:numId w:val="2"/>
        </w:numPr>
        <w:spacing w:after="80"/>
      </w:pPr>
      <w:r>
        <w:t xml:space="preserve">Roboto.fr (mars 2025) : « ChatGPT à l'école : guide complet pour enseignants et parents en 2025 »</w:t>
      </w:r>
    </w:p>
    <w:p>
      <w:pPr>
        <w:pStyle w:val="ListParagraph"/>
        <w:numPr>
          <w:ilvl w:val="0"/>
          <w:numId w:val="2"/>
        </w:numPr>
        <w:spacing w:after="80"/>
      </w:pPr>
      <w:r>
        <w:t xml:space="preserve">Inpulp.tech (septembre 2025) : « Apprendre avec ou contre l'IA ? La grande bascule éducative de 2025 »</w:t>
      </w:r>
    </w:p>
    <w:p>
      <w:pPr>
        <w:pStyle w:val="ListParagraph"/>
        <w:numPr>
          <w:ilvl w:val="0"/>
          <w:numId w:val="2"/>
        </w:numPr>
        <w:spacing w:after="80"/>
      </w:pPr>
      <w:r>
        <w:t xml:space="preserve">Notieai (octobre 2025) : « IA et Enseignement : l'IA a transformé l'enseignement en 2025 »</w:t>
      </w:r>
    </w:p>
    <w:p>
      <w:pPr>
        <w:pStyle w:val="ListParagraph"/>
        <w:numPr>
          <w:ilvl w:val="0"/>
          <w:numId w:val="2"/>
        </w:numPr>
        <w:spacing w:after="80"/>
      </w:pPr>
      <w:r>
        <w:t xml:space="preserve">Onoff.gr (février 2026) : « Intelligence artificielle et éducation : ce qui change vraiment à l'école en 2026 »</w:t>
      </w:r>
    </w:p>
    <w:p>
      <w:pPr>
        <w:pStyle w:val="ListParagraph"/>
        <w:numPr>
          <w:ilvl w:val="0"/>
          <w:numId w:val="2"/>
        </w:numPr>
        <w:spacing w:after="80"/>
      </w:pPr>
      <w:r>
        <w:t xml:space="preserve">Ekole.fr (janvier 2026) : « L'IA à l'école : comment les enseignants français s'adaptent »</w:t>
      </w:r>
    </w:p>
    <w:p>
      <w:pPr>
        <w:pStyle w:val="Heading2"/>
        <w:spacing w:after="140" w:before="280"/>
      </w:pPr>
      <w:r>
        <w:rPr>
          <w:b/>
          <w:bCs/>
          <w:color w:val="00A8C8"/>
        </w:rPr>
        <w:t xml:space="preserve">Cadre réglementaire</w:t>
      </w:r>
    </w:p>
    <w:p>
      <w:pPr>
        <w:pStyle w:val="ListParagraph"/>
        <w:numPr>
          <w:ilvl w:val="0"/>
          <w:numId w:val="2"/>
        </w:numPr>
        <w:spacing w:after="80"/>
      </w:pPr>
      <w:r>
        <w:t xml:space="preserve">Référentiel National Qualité (RNQ) — version 2025, France compétences</w:t>
      </w:r>
    </w:p>
    <w:p>
      <w:pPr>
        <w:pStyle w:val="ListParagraph"/>
        <w:numPr>
          <w:ilvl w:val="0"/>
          <w:numId w:val="2"/>
        </w:numPr>
        <w:spacing w:after="80"/>
      </w:pPr>
      <w:r>
        <w:t xml:space="preserve">Cadre d'usage de l'IA en éducation, ministère de l'Éducation nationale, juin 2025</w:t>
      </w:r>
    </w:p>
    <w:p>
      <w:pPr>
        <w:pStyle w:val="ListParagraph"/>
        <w:numPr>
          <w:ilvl w:val="0"/>
          <w:numId w:val="2"/>
        </w:numPr>
        <w:spacing w:after="80"/>
      </w:pPr>
      <w:r>
        <w:t xml:space="preserve">AI Act européen, règlement UE 2024/1689, en vigueur depuis février 2025</w:t>
      </w:r>
    </w:p>
    <w:p>
      <w:pPr>
        <w:pStyle w:val="ListParagraph"/>
        <w:numPr>
          <w:ilvl w:val="0"/>
          <w:numId w:val="2"/>
        </w:numPr>
        <w:spacing w:after="80"/>
      </w:pPr>
      <w:r>
        <w:t xml:space="preserve">Onlineformapro (juillet 2025) : « Qualiopi 2025 : nouvelles exigences pour les organismes de formation »</w:t>
      </w:r>
    </w:p>
    <w:p>
      <w:pPr>
        <w:pStyle w:val="ListParagraph"/>
        <w:numPr>
          <w:ilvl w:val="0"/>
          <w:numId w:val="2"/>
        </w:numPr>
        <w:spacing w:after="80"/>
      </w:pPr>
      <w:r>
        <w:t xml:space="preserve">Koudeclat (mars 2026) : « IA et formation professionnelle : ce que dit la loi Qualiopi en 2026 »</w:t>
      </w:r>
    </w:p>
    <w:p>
      <w:pPr>
        <w:pStyle w:val="Heading2"/>
        <w:spacing w:after="140" w:before="280"/>
      </w:pPr>
      <w:r>
        <w:rPr>
          <w:b/>
          <w:bCs/>
          <w:color w:val="00A8C8"/>
        </w:rPr>
        <w:t xml:space="preserve">Études internationales</w:t>
      </w:r>
    </w:p>
    <w:p>
      <w:pPr>
        <w:pStyle w:val="ListParagraph"/>
        <w:numPr>
          <w:ilvl w:val="0"/>
          <w:numId w:val="2"/>
        </w:numPr>
        <w:spacing w:after="80"/>
      </w:pPr>
      <w:r>
        <w:t xml:space="preserve">Étude estonienne (juillet 2024) : 49% des enseignants ont modifié leurs pratiques avec l'IA</w:t>
      </w:r>
    </w:p>
    <w:p>
      <w:pPr>
        <w:pStyle w:val="ListParagraph"/>
        <w:numPr>
          <w:ilvl w:val="0"/>
          <w:numId w:val="2"/>
        </w:numPr>
        <w:spacing w:after="80"/>
      </w:pPr>
      <w:r>
        <w:t xml:space="preserve">Étude chinoise publiée dans Nature (mai 2025) : effets pédagogiques des chatbots utilisés à bon escient</w:t>
      </w:r>
    </w:p>
    <w:p>
      <w:pPr>
        <w:pStyle w:val="ListParagraph"/>
        <w:numPr>
          <w:ilvl w:val="0"/>
          <w:numId w:val="2"/>
        </w:numPr>
        <w:spacing w:after="80"/>
      </w:pPr>
      <w:r>
        <w:t xml:space="preserve">MIT Center for Educational Research (2025) : impact de l'IA sur les pratiques enseignantes</w:t>
      </w:r>
    </w:p>
    <w:p>
      <w:pPr>
        <w:spacing w:after="120"/>
        <w:jc w:val="left"/>
      </w:pPr>
      <w:r>
        <w:rPr>
          <w:i/>
          <w:iCs/>
          <w:color w:val="586378"/>
        </w:rPr>
        <w:t xml:space="preserve">Document préparé en avril 2026. À mettre à jour tous les 6 mois compte tenu de la vitesse d'évolution du marché et de la réglementation.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6378"/>
        <w:sz w:val="16"/>
        <w:szCs w:val="16"/>
      </w:rPr>
      <w:t xml:space="preserve">Document de travail · Confidentiel · </w:t>
    </w:r>
    <w:r>
      <w:rPr>
        <w:color w:val="58637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86378"/>
        <w:sz w:val="18"/>
        <w:szCs w:val="18"/>
      </w:rPr>
      <w:t xml:space="preserve">QUESTIA · L'IA dans l'éducation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0E1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A8C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0E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d'usage IA en éducation</dc:title>
  <dc:creator>Questia</dc:creator>
  <cp:lastModifiedBy>Un-named</cp:lastModifiedBy>
  <cp:revision>1</cp:revision>
  <dcterms:created xsi:type="dcterms:W3CDTF">2026-04-30T12:37:30.090Z</dcterms:created>
  <dcterms:modified xsi:type="dcterms:W3CDTF">2026-04-30T12:37:30.090Z</dcterms:modified>
</cp:coreProperties>
</file>

<file path=docProps/custom.xml><?xml version="1.0" encoding="utf-8"?>
<Properties xmlns="http://schemas.openxmlformats.org/officeDocument/2006/custom-properties" xmlns:vt="http://schemas.openxmlformats.org/officeDocument/2006/docPropsVTypes"/>
</file>