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B8794B"/>
          <w:spacing w:val="80"/>
          <w:sz w:val="24"/>
          <w:szCs w:val="24"/>
        </w:rPr>
        <w:t xml:space="preserve">QUESTIA</w:t>
      </w:r>
    </w:p>
    <w:p>
      <w:pPr>
        <w:spacing w:after="120"/>
        <w:jc w:val="center"/>
      </w:pPr>
      <w:r>
        <w:rPr>
          <w:rFonts w:ascii="Calibri" w:cs="Calibri" w:eastAsia="Calibri" w:hAnsi="Calibri"/>
          <w:color w:val="6B7280"/>
          <w:spacing w:val="60"/>
          <w:sz w:val="18"/>
          <w:szCs w:val="18"/>
        </w:rPr>
        <w:t xml:space="preserve">ÉTUDE · ÉDITION 2026</w:t>
      </w:r>
    </w:p>
    <w:p>
      <w:pPr>
        <w:spacing w:before="1200"/>
      </w:pPr>
    </w:p>
    <w:p>
      <w:pPr>
        <w:spacing w:after="240"/>
        <w:jc w:val="center"/>
      </w:pPr>
      <w:r>
        <w:rPr>
          <w:rFonts w:ascii="Calibri" w:cs="Calibri" w:eastAsia="Calibri" w:hAnsi="Calibri"/>
          <w:b/>
          <w:bCs/>
          <w:color w:val="0F1A2E"/>
          <w:sz w:val="64"/>
          <w:szCs w:val="64"/>
        </w:rPr>
        <w:t xml:space="preserve">Le coût caché</w:t>
      </w:r>
    </w:p>
    <w:p>
      <w:pPr>
        <w:spacing w:after="480"/>
        <w:jc w:val="center"/>
      </w:pPr>
      <w:r>
        <w:rPr>
          <w:rFonts w:ascii="Calibri" w:cs="Calibri" w:eastAsia="Calibri" w:hAnsi="Calibri"/>
          <w:b/>
          <w:bCs/>
          <w:i/>
          <w:iCs/>
          <w:color w:val="B8794B"/>
          <w:sz w:val="64"/>
          <w:szCs w:val="64"/>
        </w:rPr>
        <w:t xml:space="preserve">de la cécité culturelle</w:t>
      </w:r>
    </w:p>
    <w:p>
      <w:pPr>
        <w:spacing w:after="240"/>
        <w:jc w:val="center"/>
      </w:pPr>
      <w:r>
        <w:rPr>
          <w:rFonts w:ascii="Calibri" w:cs="Calibri" w:eastAsia="Calibri" w:hAnsi="Calibri"/>
          <w:i/>
          <w:iCs/>
          <w:color w:val="2A3A55"/>
          <w:sz w:val="26"/>
          <w:szCs w:val="26"/>
        </w:rPr>
        <w:t xml:space="preserve">Pourquoi vos cadres exposés à l'international</w:t>
      </w:r>
    </w:p>
    <w:p>
      <w:pPr>
        <w:spacing w:after="1200"/>
        <w:jc w:val="center"/>
      </w:pPr>
      <w:r>
        <w:rPr>
          <w:rFonts w:ascii="Calibri" w:cs="Calibri" w:eastAsia="Calibri" w:hAnsi="Calibri"/>
          <w:i/>
          <w:iCs/>
          <w:color w:val="2A3A55"/>
          <w:sz w:val="26"/>
          <w:szCs w:val="26"/>
        </w:rPr>
        <w:t xml:space="preserve">vous coûtent plus qu'ils ne vous rapportent</w:t>
      </w:r>
    </w:p>
    <w:p>
      <w:pPr>
        <w:spacing w:after="120" w:before="1200"/>
        <w:jc w:val="center"/>
      </w:pPr>
      <w:r>
        <w:rPr>
          <w:rFonts w:ascii="Calibri" w:cs="Calibri" w:eastAsia="Calibri" w:hAnsi="Calibri"/>
          <w:color w:val="6B7280"/>
          <w:sz w:val="22"/>
          <w:szCs w:val="22"/>
        </w:rPr>
        <w:t xml:space="preserve">Et comment mesurer ce que personne ne mesure aujourd'hui.</w:t>
      </w:r>
    </w:p>
    <w:p>
      <w:pPr>
        <w:spacing w:after="120" w:before="2400"/>
        <w:jc w:val="center"/>
      </w:pPr>
      <w:r>
        <w:rPr>
          <w:rFonts w:ascii="Calibri" w:cs="Calibri" w:eastAsia="Calibri" w:hAnsi="Calibri"/>
          <w:color w:val="6B7280"/>
          <w:spacing w:val="40"/>
          <w:sz w:val="18"/>
          <w:szCs w:val="18"/>
        </w:rPr>
        <w:t xml:space="preserve">27 pages · 4 chapitres · 1 méthodologie</w:t>
      </w:r>
    </w:p>
    <w:p>
      <w:r>
        <w:br w:type="page"/>
      </w:r>
    </w:p>
    <w:p>
      <w:pPr>
        <w:spacing w:after="480" w:before="480"/>
      </w:pPr>
      <w:r>
        <w:rPr>
          <w:rFonts w:ascii="Calibri" w:cs="Calibri" w:eastAsia="Calibri" w:hAnsi="Calibri"/>
          <w:b/>
          <w:bCs/>
          <w:color w:val="0F1A2E"/>
          <w:sz w:val="48"/>
          <w:szCs w:val="48"/>
        </w:rPr>
        <w:t xml:space="preserve">Sommaire</w:t>
      </w:r>
    </w:p>
    <w:p>
      <w:pPr>
        <w:tabs>
          <w:tab w:val="right" w:pos="9000"/>
        </w:tabs>
        <w:spacing w:after="240"/>
      </w:pPr>
      <w:r>
        <w:rPr>
          <w:rFonts w:ascii="Calibri" w:cs="Calibri" w:eastAsia="Calibri" w:hAnsi="Calibri"/>
          <w:b/>
          <w:bCs/>
          <w:color w:val="B8794B"/>
          <w:sz w:val="24"/>
          <w:szCs w:val="24"/>
        </w:rPr>
        <w:t xml:space="preserve">    </w:t>
      </w:r>
      <w:r>
        <w:rPr>
          <w:rFonts w:ascii="Calibri" w:cs="Calibri" w:eastAsia="Calibri" w:hAnsi="Calibri"/>
          <w:color w:val="0F1A2E"/>
          <w:sz w:val="24"/>
          <w:szCs w:val="24"/>
        </w:rPr>
        <w:t xml:space="preserve">Avant-propos</w:t>
      </w:r>
      <w:r>
        <w:rPr>
          <w:rFonts w:ascii="Calibri" w:cs="Calibri" w:eastAsia="Calibri" w:hAnsi="Calibri"/>
          <w:color w:val="6B7280"/>
          <w:sz w:val="22"/>
          <w:szCs w:val="22"/>
        </w:rPr>
        <w:t xml:space="preserve">	3</w:t>
      </w:r>
    </w:p>
    <w:p>
      <w:pPr>
        <w:tabs>
          <w:tab w:val="right" w:pos="9000"/>
        </w:tabs>
        <w:spacing w:after="240"/>
      </w:pPr>
      <w:r>
        <w:rPr>
          <w:rFonts w:ascii="Calibri" w:cs="Calibri" w:eastAsia="Calibri" w:hAnsi="Calibri"/>
          <w:b/>
          <w:bCs/>
          <w:color w:val="B8794B"/>
          <w:sz w:val="24"/>
          <w:szCs w:val="24"/>
        </w:rPr>
        <w:t xml:space="preserve">1.    </w:t>
      </w:r>
      <w:r>
        <w:rPr>
          <w:rFonts w:ascii="Calibri" w:cs="Calibri" w:eastAsia="Calibri" w:hAnsi="Calibri"/>
          <w:color w:val="0F1A2E"/>
          <w:sz w:val="24"/>
          <w:szCs w:val="24"/>
        </w:rPr>
        <w:t xml:space="preserve">Le problème invisible</w:t>
      </w:r>
      <w:r>
        <w:rPr>
          <w:rFonts w:ascii="Calibri" w:cs="Calibri" w:eastAsia="Calibri" w:hAnsi="Calibri"/>
          <w:color w:val="6B7280"/>
          <w:sz w:val="22"/>
          <w:szCs w:val="22"/>
        </w:rPr>
        <w:t xml:space="preserve">	4</w:t>
      </w:r>
    </w:p>
    <w:p>
      <w:pPr>
        <w:tabs>
          <w:tab w:val="right" w:pos="9000"/>
        </w:tabs>
        <w:spacing w:after="240"/>
      </w:pPr>
      <w:r>
        <w:rPr>
          <w:rFonts w:ascii="Calibri" w:cs="Calibri" w:eastAsia="Calibri" w:hAnsi="Calibri"/>
          <w:b/>
          <w:bCs/>
          <w:color w:val="B8794B"/>
          <w:sz w:val="24"/>
          <w:szCs w:val="24"/>
        </w:rPr>
        <w:t xml:space="preserve">2.    </w:t>
      </w:r>
      <w:r>
        <w:rPr>
          <w:rFonts w:ascii="Calibri" w:cs="Calibri" w:eastAsia="Calibri" w:hAnsi="Calibri"/>
          <w:color w:val="0F1A2E"/>
          <w:sz w:val="24"/>
          <w:szCs w:val="24"/>
        </w:rPr>
        <w:t xml:space="preserve">Pourquoi les outils actuels échouent</w:t>
      </w:r>
      <w:r>
        <w:rPr>
          <w:rFonts w:ascii="Calibri" w:cs="Calibri" w:eastAsia="Calibri" w:hAnsi="Calibri"/>
          <w:color w:val="6B7280"/>
          <w:sz w:val="22"/>
          <w:szCs w:val="22"/>
        </w:rPr>
        <w:t xml:space="preserve">	9</w:t>
      </w:r>
    </w:p>
    <w:p>
      <w:pPr>
        <w:tabs>
          <w:tab w:val="right" w:pos="9000"/>
        </w:tabs>
        <w:spacing w:after="240"/>
      </w:pPr>
      <w:r>
        <w:rPr>
          <w:rFonts w:ascii="Calibri" w:cs="Calibri" w:eastAsia="Calibri" w:hAnsi="Calibri"/>
          <w:b/>
          <w:bCs/>
          <w:color w:val="B8794B"/>
          <w:sz w:val="24"/>
          <w:szCs w:val="24"/>
        </w:rPr>
        <w:t xml:space="preserve">3.    </w:t>
      </w:r>
      <w:r>
        <w:rPr>
          <w:rFonts w:ascii="Calibri" w:cs="Calibri" w:eastAsia="Calibri" w:hAnsi="Calibri"/>
          <w:color w:val="0F1A2E"/>
          <w:sz w:val="24"/>
          <w:szCs w:val="24"/>
        </w:rPr>
        <w:t xml:space="preserve">Ce que disent les acteurs du terrain</w:t>
      </w:r>
      <w:r>
        <w:rPr>
          <w:rFonts w:ascii="Calibri" w:cs="Calibri" w:eastAsia="Calibri" w:hAnsi="Calibri"/>
          <w:color w:val="6B7280"/>
          <w:sz w:val="22"/>
          <w:szCs w:val="22"/>
        </w:rPr>
        <w:t xml:space="preserve">	13</w:t>
      </w:r>
    </w:p>
    <w:p>
      <w:pPr>
        <w:tabs>
          <w:tab w:val="right" w:pos="9000"/>
        </w:tabs>
        <w:spacing w:after="240"/>
      </w:pPr>
      <w:r>
        <w:rPr>
          <w:rFonts w:ascii="Calibri" w:cs="Calibri" w:eastAsia="Calibri" w:hAnsi="Calibri"/>
          <w:b/>
          <w:bCs/>
          <w:color w:val="B8794B"/>
          <w:sz w:val="24"/>
          <w:szCs w:val="24"/>
        </w:rPr>
        <w:t xml:space="preserve">4.    </w:t>
      </w:r>
      <w:r>
        <w:rPr>
          <w:rFonts w:ascii="Calibri" w:cs="Calibri" w:eastAsia="Calibri" w:hAnsi="Calibri"/>
          <w:color w:val="0F1A2E"/>
          <w:sz w:val="24"/>
          <w:szCs w:val="24"/>
        </w:rPr>
        <w:t xml:space="preserve">La méthode Cultural Readiness Score</w:t>
      </w:r>
      <w:r>
        <w:rPr>
          <w:rFonts w:ascii="Calibri" w:cs="Calibri" w:eastAsia="Calibri" w:hAnsi="Calibri"/>
          <w:color w:val="6B7280"/>
          <w:sz w:val="22"/>
          <w:szCs w:val="22"/>
        </w:rPr>
        <w:t xml:space="preserve">	18</w:t>
      </w:r>
    </w:p>
    <w:p>
      <w:pPr>
        <w:tabs>
          <w:tab w:val="right" w:pos="9000"/>
        </w:tabs>
        <w:spacing w:after="240"/>
      </w:pPr>
      <w:r>
        <w:rPr>
          <w:rFonts w:ascii="Calibri" w:cs="Calibri" w:eastAsia="Calibri" w:hAnsi="Calibri"/>
          <w:b/>
          <w:bCs/>
          <w:color w:val="B8794B"/>
          <w:sz w:val="24"/>
          <w:szCs w:val="24"/>
        </w:rPr>
        <w:t xml:space="preserve">    </w:t>
      </w:r>
      <w:r>
        <w:rPr>
          <w:rFonts w:ascii="Calibri" w:cs="Calibri" w:eastAsia="Calibri" w:hAnsi="Calibri"/>
          <w:color w:val="0F1A2E"/>
          <w:sz w:val="24"/>
          <w:szCs w:val="24"/>
        </w:rPr>
        <w:t xml:space="preserve">Conclusion · trois actions pour 2026</w:t>
      </w:r>
      <w:r>
        <w:rPr>
          <w:rFonts w:ascii="Calibri" w:cs="Calibri" w:eastAsia="Calibri" w:hAnsi="Calibri"/>
          <w:color w:val="6B7280"/>
          <w:sz w:val="22"/>
          <w:szCs w:val="22"/>
        </w:rPr>
        <w:t xml:space="preserve">	24</w:t>
      </w:r>
    </w:p>
    <w:p>
      <w:pPr>
        <w:tabs>
          <w:tab w:val="right" w:pos="9000"/>
        </w:tabs>
        <w:spacing w:after="240"/>
      </w:pPr>
      <w:r>
        <w:rPr>
          <w:rFonts w:ascii="Calibri" w:cs="Calibri" w:eastAsia="Calibri" w:hAnsi="Calibri"/>
          <w:b/>
          <w:bCs/>
          <w:color w:val="B8794B"/>
          <w:sz w:val="24"/>
          <w:szCs w:val="24"/>
        </w:rPr>
        <w:t xml:space="preserve">    </w:t>
      </w:r>
      <w:r>
        <w:rPr>
          <w:rFonts w:ascii="Calibri" w:cs="Calibri" w:eastAsia="Calibri" w:hAnsi="Calibri"/>
          <w:color w:val="0F1A2E"/>
          <w:sz w:val="24"/>
          <w:szCs w:val="24"/>
        </w:rPr>
        <w:t xml:space="preserve">Diagnostic Cultural Readiness Score — offert</w:t>
      </w:r>
      <w:r>
        <w:rPr>
          <w:rFonts w:ascii="Calibri" w:cs="Calibri" w:eastAsia="Calibri" w:hAnsi="Calibri"/>
          <w:color w:val="6B7280"/>
          <w:sz w:val="22"/>
          <w:szCs w:val="22"/>
        </w:rPr>
        <w:t xml:space="preserve">	26</w:t>
      </w:r>
    </w:p>
    <w:p>
      <w:pPr>
        <w:tabs>
          <w:tab w:val="right" w:pos="9000"/>
        </w:tabs>
        <w:spacing w:after="240"/>
      </w:pPr>
      <w:r>
        <w:rPr>
          <w:rFonts w:ascii="Calibri" w:cs="Calibri" w:eastAsia="Calibri" w:hAnsi="Calibri"/>
          <w:b/>
          <w:bCs/>
          <w:color w:val="B8794B"/>
          <w:sz w:val="24"/>
          <w:szCs w:val="24"/>
        </w:rPr>
        <w:t xml:space="preserve">    </w:t>
      </w:r>
      <w:r>
        <w:rPr>
          <w:rFonts w:ascii="Calibri" w:cs="Calibri" w:eastAsia="Calibri" w:hAnsi="Calibri"/>
          <w:color w:val="0F1A2E"/>
          <w:sz w:val="24"/>
          <w:szCs w:val="24"/>
        </w:rPr>
        <w:t xml:space="preserve">À propos de Questia</w:t>
      </w:r>
      <w:r>
        <w:rPr>
          <w:rFonts w:ascii="Calibri" w:cs="Calibri" w:eastAsia="Calibri" w:hAnsi="Calibri"/>
          <w:color w:val="6B7280"/>
          <w:sz w:val="22"/>
          <w:szCs w:val="22"/>
        </w:rPr>
        <w:t xml:space="preserve">	27</w:t>
      </w:r>
    </w:p>
    <w:p>
      <w:r>
        <w:br w:type="page"/>
      </w:r>
    </w:p>
    <w:p>
      <w:pPr>
        <w:spacing w:after="480" w:before="480"/>
      </w:pPr>
      <w:r>
        <w:rPr>
          <w:rFonts w:ascii="Calibri" w:cs="Calibri" w:eastAsia="Calibri" w:hAnsi="Calibri"/>
          <w:b/>
          <w:bCs/>
          <w:color w:val="0F1A2E"/>
          <w:sz w:val="48"/>
          <w:szCs w:val="48"/>
        </w:rPr>
        <w:t xml:space="preserve">Avant-propos</w:t>
      </w:r>
    </w:p>
    <w:p>
      <w:pPr>
        <w:spacing w:after="120" w:before="0" w:line="300"/>
        <w:jc w:val="both"/>
      </w:pPr>
      <w:r>
        <w:rPr>
          <w:rFonts w:ascii="Calibri" w:cs="Calibri" w:eastAsia="Calibri" w:hAnsi="Calibri"/>
          <w:b w:val="false"/>
          <w:bCs w:val="false"/>
          <w:i w:val="false"/>
          <w:iCs w:val="false"/>
          <w:color w:val="1A1A1A"/>
          <w:sz w:val="22"/>
          <w:szCs w:val="22"/>
        </w:rPr>
        <w:t xml:space="preserve">Ce livre blanc s'adresse aux directions des ressources humaines, aux responsables L&amp;D, aux directions pédagogiques d'écoles supérieures et aux dirigeants d'organismes de formation qui forment des professionnels exposés à des marchés internationaux.</w:t>
      </w:r>
    </w:p>
    <w:p>
      <w:pPr>
        <w:spacing w:after="120" w:before="0" w:line="300"/>
        <w:jc w:val="both"/>
      </w:pPr>
      <w:r>
        <w:rPr>
          <w:rFonts w:ascii="Calibri" w:cs="Calibri" w:eastAsia="Calibri" w:hAnsi="Calibri"/>
          <w:b w:val="false"/>
          <w:bCs w:val="false"/>
          <w:i w:val="false"/>
          <w:iCs w:val="false"/>
          <w:color w:val="1A1A1A"/>
          <w:sz w:val="22"/>
          <w:szCs w:val="22"/>
        </w:rPr>
        <w:t xml:space="preserve">Il pose une thèse simple, mais inconfortable : aujourd'hui, en 2026, les entreprises françaises et européennes investissent des sommes considérables dans la formation linguistique de leurs cadres et de leurs étudiants — sans aucun moyen sérieux de mesurer si ces formations préparent vraiment leurs talents à opérer dans une autre culture.</w:t>
      </w:r>
    </w:p>
    <w:p>
      <w:pPr>
        <w:spacing w:after="120" w:before="0" w:line="300"/>
        <w:jc w:val="both"/>
      </w:pPr>
      <w:r>
        <w:rPr>
          <w:rFonts w:ascii="Calibri" w:cs="Calibri" w:eastAsia="Calibri" w:hAnsi="Calibri"/>
          <w:b w:val="false"/>
          <w:bCs w:val="false"/>
          <w:i w:val="false"/>
          <w:iCs w:val="false"/>
          <w:color w:val="1A1A1A"/>
          <w:sz w:val="22"/>
          <w:szCs w:val="22"/>
        </w:rPr>
        <w:t xml:space="preserve">Le résultat est invisible mais documenté : des contrats perdus pour mauvaise lecture des codes locaux, des stages écourtés pour incompréhension des hiérarchies, des cadres brillants jugés sur leur accent avant d'être écoutés sur leur talent. Nous appelons ce phénomène la cécité culturelle.</w:t>
      </w:r>
    </w:p>
    <w:p>
      <w:pPr>
        <w:pBdr>
          <w:top w:val="single" w:color="B8794B" w:sz="6"/>
          <w:bottom w:val="single" w:color="B8794B" w:sz="6"/>
          <w:left w:val="single" w:color="B8794B" w:sz="6"/>
          <w:right w:val="single" w:color="B8794B" w:sz="6"/>
        </w:pBdr>
        <w:shd w:fill="FDF6E3" w:val="clear"/>
        <w:spacing w:after="240" w:before="240"/>
        <w:ind w:left="240" w:right="240"/>
      </w:pPr>
      <w:r>
        <w:rPr>
          <w:rFonts w:ascii="Calibri" w:cs="Calibri" w:eastAsia="Calibri" w:hAnsi="Calibri"/>
          <w:b/>
          <w:bCs/>
          <w:color w:val="B8794B"/>
          <w:sz w:val="22"/>
          <w:szCs w:val="22"/>
        </w:rPr>
        <w:t xml:space="preserve">★ Ce que ce document propose</w:t>
      </w:r>
      <w:r>
        <w:br/>
        <w:t xml:space="preserve"/>
      </w:r>
      <w:r>
        <w:rPr>
          <w:rFonts w:ascii="Calibri" w:cs="Calibri" w:eastAsia="Calibri" w:hAnsi="Calibri"/>
          <w:color w:val="1A1A1A"/>
          <w:sz w:val="22"/>
          <w:szCs w:val="22"/>
        </w:rPr>
        <w:t xml:space="preserve">Documenter le problème à travers les voix du terrain. Comprendre pourquoi les outils actuels échouent à le résoudre. Et proposer une méthode rigoureuse pour mesurer la compétence interculturelle — donc, enfin, pour la défendre devant un comité de direction.</w:t>
      </w:r>
    </w:p>
    <w:p>
      <w:pPr>
        <w:spacing w:after="120" w:before="0" w:line="300"/>
        <w:jc w:val="both"/>
      </w:pPr>
      <w:r>
        <w:rPr>
          <w:rFonts w:ascii="Calibri" w:cs="Calibri" w:eastAsia="Calibri" w:hAnsi="Calibri"/>
          <w:b w:val="false"/>
          <w:bCs w:val="false"/>
          <w:i w:val="false"/>
          <w:iCs w:val="false"/>
          <w:color w:val="1A1A1A"/>
          <w:sz w:val="22"/>
          <w:szCs w:val="22"/>
        </w:rPr>
        <w:t xml:space="preserve">Nous avons écrit ce document pour qu'il soit utile à trois publics distincts. Aux directions des ressources humaines qui peinent à justifier leur budget langues face à leur direction financière. Aux directions pédagogiques d'écoles de commerce dont les audits AACSB, EQUIS ou AMBA exigent une traçabilité d'employabilité internationale. Et aux dirigeants d'organismes de formation Qualiopi qui cherchent à se différencier sur un marché saturé de quarante-deux mille acteurs.</w:t>
      </w:r>
    </w:p>
    <w:p>
      <w:pPr>
        <w:spacing w:after="120" w:before="0" w:line="300"/>
        <w:jc w:val="both"/>
      </w:pPr>
      <w:r>
        <w:rPr>
          <w:rFonts w:ascii="Calibri" w:cs="Calibri" w:eastAsia="Calibri" w:hAnsi="Calibri"/>
          <w:b w:val="false"/>
          <w:bCs w:val="false"/>
          <w:i w:val="false"/>
          <w:iCs w:val="false"/>
          <w:color w:val="1A1A1A"/>
          <w:sz w:val="22"/>
          <w:szCs w:val="22"/>
        </w:rPr>
        <w:t xml:space="preserve">Vous trouverez dans ces pages trois récits réels, illustrant la cécité culturelle à trois échelles différentes. Vous trouverez une analyse honnête des outils du marché — y compris ceux que vous utilisez probablement aujourd'hui. Vous trouverez la synthèse de trois entretiens semi-directifs avec des praticiens de la formation linguistique en entreprise. Et vous trouverez, enfin, la première proposition de méthodologie chiffrée pour évaluer la compétence interculturelle d'un professionnel : le Cultural Readiness Score.</w:t>
      </w:r>
    </w:p>
    <w:p>
      <w:pPr>
        <w:spacing w:after="120" w:before="0" w:line="300"/>
        <w:jc w:val="both"/>
      </w:pPr>
      <w:r>
        <w:rPr>
          <w:rFonts w:ascii="Calibri" w:cs="Calibri" w:eastAsia="Calibri" w:hAnsi="Calibri"/>
          <w:b w:val="false"/>
          <w:bCs w:val="false"/>
          <w:i w:val="false"/>
          <w:iCs w:val="false"/>
          <w:color w:val="1A1A1A"/>
          <w:sz w:val="22"/>
          <w:szCs w:val="22"/>
        </w:rPr>
        <w:t xml:space="preserve">Bonne lecture.</w:t>
      </w:r>
    </w:p>
    <w:p>
      <w:pPr>
        <w:spacing w:before="480"/>
        <w:jc w:val="right"/>
      </w:pPr>
      <w:r>
        <w:rPr>
          <w:rFonts w:ascii="Calibri" w:cs="Calibri" w:eastAsia="Calibri" w:hAnsi="Calibri"/>
          <w:i/>
          <w:iCs/>
          <w:color w:val="6B7280"/>
          <w:sz w:val="22"/>
          <w:szCs w:val="22"/>
        </w:rPr>
        <w:t xml:space="preserve">L'équipe Questia</w:t>
      </w:r>
      <w:r>
        <w:br/>
        <w:t xml:space="preserve"/>
      </w:r>
      <w:r>
        <w:rPr>
          <w:rFonts w:ascii="Calibri" w:cs="Calibri" w:eastAsia="Calibri" w:hAnsi="Calibri"/>
          <w:i/>
          <w:iCs/>
          <w:color w:val="6B7280"/>
          <w:sz w:val="22"/>
          <w:szCs w:val="22"/>
        </w:rPr>
        <w:t xml:space="preserve">Paris · Mai 2026</w:t>
      </w:r>
    </w:p>
    <w:p>
      <w:r>
        <w:br w:type="page"/>
      </w:r>
    </w:p>
    <w:p>
      <w:pPr>
        <w:spacing w:after="80" w:before="480"/>
      </w:pPr>
      <w:r>
        <w:rPr>
          <w:rFonts w:ascii="Calibri" w:cs="Calibri" w:eastAsia="Calibri" w:hAnsi="Calibri"/>
          <w:b/>
          <w:bCs/>
          <w:color w:val="B8794B"/>
          <w:sz w:val="18"/>
          <w:szCs w:val="18"/>
        </w:rPr>
        <w:t xml:space="preserve">CHAPITRE 1</w:t>
      </w:r>
    </w:p>
    <w:p>
      <w:pPr>
        <w:pStyle w:val="Heading1"/>
        <w:spacing w:after="360" w:before="0"/>
      </w:pPr>
      <w:r>
        <w:rPr>
          <w:rFonts w:ascii="Calibri" w:cs="Calibri" w:eastAsia="Calibri" w:hAnsi="Calibri"/>
          <w:b/>
          <w:bCs/>
          <w:color w:val="0F1A2E"/>
          <w:sz w:val="40"/>
          <w:szCs w:val="40"/>
        </w:rPr>
        <w:t xml:space="preserve">Le problème invisible</w:t>
      </w:r>
    </w:p>
    <w:p>
      <w:pPr>
        <w:pStyle w:val="Heading2"/>
        <w:spacing w:after="180" w:before="360"/>
      </w:pPr>
      <w:r>
        <w:rPr>
          <w:rFonts w:ascii="Calibri" w:cs="Calibri" w:eastAsia="Calibri" w:hAnsi="Calibri"/>
          <w:b/>
          <w:bCs/>
          <w:color w:val="0F1A2E"/>
          <w:sz w:val="28"/>
          <w:szCs w:val="28"/>
        </w:rPr>
        <w:t xml:space="preserve">1.1 · Trois récits, un même problème</w:t>
      </w:r>
    </w:p>
    <w:p>
      <w:pPr>
        <w:spacing w:after="120" w:before="0" w:line="300"/>
        <w:jc w:val="both"/>
      </w:pPr>
      <w:r>
        <w:rPr>
          <w:rFonts w:ascii="Calibri" w:cs="Calibri" w:eastAsia="Calibri" w:hAnsi="Calibri"/>
          <w:b w:val="false"/>
          <w:bCs w:val="false"/>
          <w:i w:val="false"/>
          <w:iCs w:val="false"/>
          <w:color w:val="1A1A1A"/>
          <w:sz w:val="22"/>
          <w:szCs w:val="22"/>
        </w:rPr>
        <w:t xml:space="preserve">Hong Kong, octobre 2025. Une scale-up française de la tech envoie son vice-président commercial négocier un partenariat stratégique avec un investisseur asiatique. La discussion technique est parfaite. L'anglais est fluide. Mais quelque chose se passe mal. Le VP, formé à la française, présente des arguments rationnels, oppose des principes, conclut directement. L'investisseur, formé à la culture chinoise des affaires, attend des marques de relation, lit le silence, évite la confrontation. Le partenariat capote.</w:t>
      </w:r>
    </w:p>
    <w:p>
      <w:pPr>
        <w:pBdr>
          <w:left w:val="single" w:color="B8794B" w:sz="24" w:space="12"/>
        </w:pBdr>
        <w:spacing w:after="240" w:before="240"/>
        <w:ind w:left="360" w:right="360"/>
        <w:jc w:val="left"/>
      </w:pPr>
      <w:r>
        <w:rPr>
          <w:rFonts w:ascii="Calibri" w:cs="Calibri" w:eastAsia="Calibri" w:hAnsi="Calibri"/>
          <w:i/>
          <w:iCs/>
          <w:color w:val="0F1A2E"/>
          <w:sz w:val="24"/>
          <w:szCs w:val="24"/>
        </w:rPr>
        <w:t xml:space="preserve">« On a perdu un deal de deux millions d'euros parce que notre VP commercial n'a pas su lire les signaux d'un partenaire à Hong Kong. »</w:t>
      </w:r>
      <w:r>
        <w:br/>
        <w:t xml:space="preserve"/>
      </w:r>
      <w:r>
        <w:rPr>
          <w:rFonts w:ascii="Calibri" w:cs="Calibri" w:eastAsia="Calibri" w:hAnsi="Calibri"/>
          <w:color w:val="6B7280"/>
          <w:sz w:val="20"/>
          <w:szCs w:val="20"/>
        </w:rPr>
        <w:t xml:space="preserve">— Sophie · DRH d'une ETI tech française, membre du COMEX</w:t>
      </w:r>
    </w:p>
    <w:p>
      <w:pPr>
        <w:spacing w:after="120" w:before="0" w:line="300"/>
        <w:jc w:val="both"/>
      </w:pPr>
      <w:r>
        <w:rPr>
          <w:rFonts w:ascii="Calibri" w:cs="Calibri" w:eastAsia="Calibri" w:hAnsi="Calibri"/>
          <w:b w:val="false"/>
          <w:bCs w:val="false"/>
          <w:i w:val="false"/>
          <w:iCs w:val="false"/>
          <w:color w:val="1A1A1A"/>
          <w:sz w:val="22"/>
          <w:szCs w:val="22"/>
        </w:rPr>
        <w:t xml:space="preserve">Lagos, septembre 2025. Une étudiante d'une grande école de commerce française part en stage chez un partenaire africain. Anglais brillant. Excellents résultats académiques. Trois semaines plus tard, le stage est écourté. Motif : l'étudiante voulait tout signer trop vite. Sa lecture du temps — linéaire, occidentale, transactionnelle — heurtait celle de ses interlocuteurs locaux, plus relationnelle, plus patiente, plus ritualisée.</w:t>
      </w:r>
    </w:p>
    <w:p>
      <w:pPr>
        <w:pBdr>
          <w:left w:val="single" w:color="B8794B" w:sz="24" w:space="12"/>
        </w:pBdr>
        <w:spacing w:after="240" w:before="240"/>
        <w:ind w:left="360" w:right="360"/>
        <w:jc w:val="left"/>
      </w:pPr>
      <w:r>
        <w:rPr>
          <w:rFonts w:ascii="Calibri" w:cs="Calibri" w:eastAsia="Calibri" w:hAnsi="Calibri"/>
          <w:i/>
          <w:iCs/>
          <w:color w:val="0F1A2E"/>
          <w:sz w:val="24"/>
          <w:szCs w:val="24"/>
        </w:rPr>
        <w:t xml:space="preserve">« C'est un trou béant dans notre promesse marketing. On vend à nos étudiants l'employabilité internationale, et on ne les forme pas à ce qui les fera échouer. »</w:t>
      </w:r>
      <w:r>
        <w:br/>
        <w:t xml:space="preserve"/>
      </w:r>
      <w:r>
        <w:rPr>
          <w:rFonts w:ascii="Calibri" w:cs="Calibri" w:eastAsia="Calibri" w:hAnsi="Calibri"/>
          <w:color w:val="6B7280"/>
          <w:sz w:val="20"/>
          <w:szCs w:val="20"/>
        </w:rPr>
        <w:t xml:space="preserve">— Marc · Directeur pédagogique d'une école supérieure de commerce</w:t>
      </w:r>
    </w:p>
    <w:p>
      <w:pPr>
        <w:spacing w:after="120" w:before="0" w:line="300"/>
        <w:jc w:val="both"/>
      </w:pPr>
      <w:r>
        <w:rPr>
          <w:rFonts w:ascii="Calibri" w:cs="Calibri" w:eastAsia="Calibri" w:hAnsi="Calibri"/>
          <w:b w:val="false"/>
          <w:bCs w:val="false"/>
          <w:i w:val="false"/>
          <w:iCs w:val="false"/>
          <w:color w:val="1A1A1A"/>
          <w:sz w:val="22"/>
          <w:szCs w:val="22"/>
        </w:rPr>
        <w:t xml:space="preserve">Paris, plus tôt. Un formateur d'anglais à l'expérience de trois décennies raconte une anecdote devenue emblématique. Un ingénieur de France Télécom rencontre son homologue de British Telecom. Le mot ingénieur, traduit littéralement par engineer, déclenche un quiproquo hiérarchique. En France, un ingénieur est un haut cadre, parfois polytechnicien, souvent décisionnaire. Au Royaume-Uni, le mot désigne plutôt un technicien spécialisé. Trente minutes de discussion avant que la confusion ne soit dissipée. Trente minutes qui ont failli, selon le formateur, basculer en incident diplomatique.</w:t>
      </w:r>
    </w:p>
    <w:p>
      <w:pPr>
        <w:pBdr>
          <w:left w:val="single" w:color="B8794B" w:sz="24" w:space="12"/>
        </w:pBdr>
        <w:spacing w:after="240" w:before="240"/>
        <w:ind w:left="360" w:right="360"/>
        <w:jc w:val="left"/>
      </w:pPr>
      <w:r>
        <w:rPr>
          <w:rFonts w:ascii="Calibri" w:cs="Calibri" w:eastAsia="Calibri" w:hAnsi="Calibri"/>
          <w:i/>
          <w:iCs/>
          <w:color w:val="0F1A2E"/>
          <w:sz w:val="24"/>
          <w:szCs w:val="24"/>
        </w:rPr>
        <w:t xml:space="preserve">« Les traductions sans contexte culturel sont une source récurrente de problèmes. On forme à la langue, on ne forme pas à la hiérarchie qu'elle implique. »</w:t>
      </w:r>
      <w:r>
        <w:br/>
        <w:t xml:space="preserve"/>
      </w:r>
      <w:r>
        <w:rPr>
          <w:rFonts w:ascii="Calibri" w:cs="Calibri" w:eastAsia="Calibri" w:hAnsi="Calibri"/>
          <w:color w:val="6B7280"/>
          <w:sz w:val="20"/>
          <w:szCs w:val="20"/>
        </w:rPr>
        <w:t xml:space="preserve">— Tim White · Formateur en anglais, trente-trois ans d'expérience</w:t>
      </w:r>
    </w:p>
    <w:p>
      <w:pPr>
        <w:spacing w:after="120" w:before="0" w:line="300"/>
        <w:jc w:val="both"/>
      </w:pPr>
      <w:r>
        <w:rPr>
          <w:rFonts w:ascii="Calibri" w:cs="Calibri" w:eastAsia="Calibri" w:hAnsi="Calibri"/>
          <w:b w:val="false"/>
          <w:bCs w:val="false"/>
          <w:i w:val="false"/>
          <w:iCs w:val="false"/>
          <w:color w:val="1A1A1A"/>
          <w:sz w:val="22"/>
          <w:szCs w:val="22"/>
        </w:rPr>
        <w:t xml:space="preserve">Trois anecdotes. Trois échelles : une entreprise, une école, une administration. Mais une seule cause : non pas une langue mal apprise, mais une culture mal lue.</w:t>
      </w:r>
    </w:p>
    <w:p>
      <w:pPr>
        <w:pStyle w:val="Heading2"/>
        <w:spacing w:after="180" w:before="360"/>
      </w:pPr>
      <w:r>
        <w:rPr>
          <w:rFonts w:ascii="Calibri" w:cs="Calibri" w:eastAsia="Calibri" w:hAnsi="Calibri"/>
          <w:b/>
          <w:bCs/>
          <w:color w:val="0F1A2E"/>
          <w:sz w:val="28"/>
          <w:szCs w:val="28"/>
        </w:rPr>
        <w:t xml:space="preserve">1.2 · Pourquoi personne ne mesure ce phénomène</w:t>
      </w:r>
    </w:p>
    <w:p>
      <w:pPr>
        <w:spacing w:after="120" w:before="0" w:line="300"/>
        <w:jc w:val="both"/>
      </w:pPr>
      <w:r>
        <w:rPr>
          <w:rFonts w:ascii="Calibri" w:cs="Calibri" w:eastAsia="Calibri" w:hAnsi="Calibri"/>
          <w:b w:val="false"/>
          <w:bCs w:val="false"/>
          <w:i w:val="false"/>
          <w:iCs w:val="false"/>
          <w:color w:val="1A1A1A"/>
          <w:sz w:val="22"/>
          <w:szCs w:val="22"/>
        </w:rPr>
        <w:t xml:space="preserve">Le coût des trois situations que nous venons de décrire est facilement chiffrable, après coup. Deux millions d'euros de chiffre d'affaires perdu pour Sophie. Un stage de six mois interrompu pour Marc, avec des conséquences sur l'employabilité de l'étudiante et la réputation de l'école. Trente minutes de quiproquo pour Tim — et un projet inter-opérateurs qui a failli s'effondrer avant même de commencer.</w:t>
      </w:r>
    </w:p>
    <w:p>
      <w:pPr>
        <w:spacing w:after="120" w:before="0" w:line="300"/>
        <w:jc w:val="both"/>
      </w:pPr>
      <w:r>
        <w:rPr>
          <w:rFonts w:ascii="Calibri" w:cs="Calibri" w:eastAsia="Calibri" w:hAnsi="Calibri"/>
          <w:b w:val="false"/>
          <w:bCs w:val="false"/>
          <w:i w:val="false"/>
          <w:iCs w:val="false"/>
          <w:color w:val="1A1A1A"/>
          <w:sz w:val="22"/>
          <w:szCs w:val="22"/>
        </w:rPr>
        <w:t xml:space="preserve">Pourtant, dans aucun des trois cas, l'entreprise, l'école ou l'administration n'a anticipé le risque. Et c'est précisément cela qui définit la cécité culturelle : un risque réel, chiffrable, mais invisible avant qu'il ne se manifeste.</w:t>
      </w:r>
    </w:p>
    <w:p>
      <w:pPr>
        <w:spacing w:after="120" w:before="0" w:line="300"/>
        <w:jc w:val="both"/>
      </w:pPr>
      <w:r>
        <w:rPr>
          <w:rFonts w:ascii="Calibri" w:cs="Calibri" w:eastAsia="Calibri" w:hAnsi="Calibri"/>
          <w:b w:val="false"/>
          <w:bCs w:val="false"/>
          <w:i w:val="false"/>
          <w:iCs w:val="false"/>
          <w:color w:val="1A1A1A"/>
          <w:sz w:val="22"/>
          <w:szCs w:val="22"/>
        </w:rPr>
        <w:t xml:space="preserve">Trois raisons structurelles l'expliquent.</w:t>
      </w:r>
    </w:p>
    <w:p>
      <w:pPr>
        <w:pStyle w:val="Heading3"/>
        <w:spacing w:after="120" w:before="240"/>
      </w:pPr>
      <w:r>
        <w:rPr>
          <w:rFonts w:ascii="Calibri" w:cs="Calibri" w:eastAsia="Calibri" w:hAnsi="Calibri"/>
          <w:b/>
          <w:bCs/>
          <w:color w:val="2A3A55"/>
          <w:sz w:val="24"/>
          <w:szCs w:val="24"/>
        </w:rPr>
        <w:t xml:space="preserve">1.2.1 · Les outils actuels mesurent la langue, pas la culture</w:t>
      </w:r>
    </w:p>
    <w:p>
      <w:pPr>
        <w:spacing w:after="120" w:before="0" w:line="300"/>
        <w:jc w:val="both"/>
      </w:pPr>
      <w:r>
        <w:rPr>
          <w:rFonts w:ascii="Calibri" w:cs="Calibri" w:eastAsia="Calibri" w:hAnsi="Calibri"/>
          <w:b w:val="false"/>
          <w:bCs w:val="false"/>
          <w:i w:val="false"/>
          <w:iCs w:val="false"/>
          <w:color w:val="1A1A1A"/>
          <w:sz w:val="22"/>
          <w:szCs w:val="22"/>
        </w:rPr>
        <w:t xml:space="preserve">Le standard européen de référence en matière de langues est le Cadre européen commun de référence pour les langues, plus connu sous l'acronyme CECRL. Il classe les apprenants sur six niveaux, de A1 à C2, en évaluant quatre compétences : compréhension orale, compréhension écrite, expression orale, expression écrite.</w:t>
      </w:r>
    </w:p>
    <w:p>
      <w:pPr>
        <w:spacing w:after="120" w:before="0" w:line="300"/>
        <w:jc w:val="both"/>
      </w:pPr>
      <w:r>
        <w:rPr>
          <w:rFonts w:ascii="Calibri" w:cs="Calibri" w:eastAsia="Calibri" w:hAnsi="Calibri"/>
          <w:b w:val="false"/>
          <w:bCs w:val="false"/>
          <w:i w:val="false"/>
          <w:iCs w:val="false"/>
          <w:color w:val="1A1A1A"/>
          <w:sz w:val="22"/>
          <w:szCs w:val="22"/>
        </w:rPr>
        <w:t xml:space="preserve">Le CECRL est un outil remarquable. Il est utilisé par les organismes de certification — TOEIC, TOEFL, BULATS, IELTS — par les écoles, par les organismes de formation. Il a une vertu : il permet de comparer des niveaux entre apprenants, entre institutions, entre pays.</w:t>
      </w:r>
    </w:p>
    <w:p>
      <w:pPr>
        <w:spacing w:after="120" w:before="0" w:line="300"/>
        <w:jc w:val="both"/>
      </w:pPr>
      <w:r>
        <w:rPr>
          <w:rFonts w:ascii="Calibri" w:cs="Calibri" w:eastAsia="Calibri" w:hAnsi="Calibri"/>
          <w:b w:val="false"/>
          <w:bCs w:val="false"/>
          <w:i w:val="false"/>
          <w:iCs w:val="false"/>
          <w:color w:val="1A1A1A"/>
          <w:sz w:val="22"/>
          <w:szCs w:val="22"/>
        </w:rPr>
        <w:t xml:space="preserve">Mais il a une limite, fondamentale : il ne dit rien de la culture. Un cadre français qui obtient le niveau C1 d'anglais peut parfaitement échouer à Hong Kong, à Lagos ou à Tokyo. Non pas parce qu'il ne comprend pas les mots, mais parce qu'il ne lit pas les codes qui s'y attachent.</w:t>
      </w:r>
    </w:p>
    <w:p>
      <w:pPr>
        <w:pStyle w:val="Heading3"/>
        <w:spacing w:after="120" w:before="240"/>
      </w:pPr>
      <w:r>
        <w:rPr>
          <w:rFonts w:ascii="Calibri" w:cs="Calibri" w:eastAsia="Calibri" w:hAnsi="Calibri"/>
          <w:b/>
          <w:bCs/>
          <w:color w:val="2A3A55"/>
          <w:sz w:val="24"/>
          <w:szCs w:val="24"/>
        </w:rPr>
        <w:t xml:space="preserve">1.2.2 · Les entreprises ne savent pas mesurer ce qu'elles n'ont jamais mesuré</w:t>
      </w:r>
    </w:p>
    <w:p>
      <w:pPr>
        <w:spacing w:after="120" w:before="0" w:line="300"/>
        <w:jc w:val="both"/>
      </w:pPr>
      <w:r>
        <w:rPr>
          <w:rFonts w:ascii="Calibri" w:cs="Calibri" w:eastAsia="Calibri" w:hAnsi="Calibri"/>
          <w:b w:val="false"/>
          <w:bCs w:val="false"/>
          <w:i w:val="false"/>
          <w:iCs w:val="false"/>
          <w:color w:val="1A1A1A"/>
          <w:sz w:val="22"/>
          <w:szCs w:val="22"/>
        </w:rPr>
        <w:t xml:space="preserve">Pour une direction des ressources humaines, mesurer l'efficacité d'une formation langue se résume aujourd'hui à trois indicateurs : le nombre d'heures consommées, le niveau CECRL atteint en fin de cycle, et la satisfaction déclarée des apprenants. Aucun de ces indicateurs ne capture la dimension culturelle.</w:t>
      </w:r>
    </w:p>
    <w:p>
      <w:pPr>
        <w:spacing w:after="120" w:before="0" w:line="300"/>
        <w:jc w:val="both"/>
      </w:pPr>
      <w:r>
        <w:rPr>
          <w:rFonts w:ascii="Calibri" w:cs="Calibri" w:eastAsia="Calibri" w:hAnsi="Calibri"/>
          <w:b w:val="false"/>
          <w:bCs w:val="false"/>
          <w:i w:val="false"/>
          <w:iCs w:val="false"/>
          <w:color w:val="1A1A1A"/>
          <w:sz w:val="22"/>
          <w:szCs w:val="22"/>
        </w:rPr>
        <w:t xml:space="preserve">Le résultat est paradoxal. Les entreprises investissent entre cinq et quinze mille euros par cadre pour des immersions linguistiques à l'étranger, parfois plus pour des cabinets de management interculturel. Mais elles n'ont aucun moyen sérieux de mesurer le retour sur cet investissement, en dehors du sentiment des participants. Ce qui ne se mesure pas se coupe, au prochain plan budgétaire. Et c'est ce qui se passe.</w:t>
      </w:r>
    </w:p>
    <w:p>
      <w:pPr>
        <w:pStyle w:val="Heading3"/>
        <w:spacing w:after="120" w:before="240"/>
      </w:pPr>
      <w:r>
        <w:rPr>
          <w:rFonts w:ascii="Calibri" w:cs="Calibri" w:eastAsia="Calibri" w:hAnsi="Calibri"/>
          <w:b/>
          <w:bCs/>
          <w:color w:val="2A3A55"/>
          <w:sz w:val="24"/>
          <w:szCs w:val="24"/>
        </w:rPr>
        <w:t xml:space="preserve">1.2.3 · Les cadres ne savent pas qu'ils ne savent pas</w:t>
      </w:r>
    </w:p>
    <w:p>
      <w:pPr>
        <w:spacing w:after="120" w:before="0" w:line="300"/>
        <w:jc w:val="both"/>
      </w:pPr>
      <w:r>
        <w:rPr>
          <w:rFonts w:ascii="Calibri" w:cs="Calibri" w:eastAsia="Calibri" w:hAnsi="Calibri"/>
          <w:b w:val="false"/>
          <w:bCs w:val="false"/>
          <w:i w:val="false"/>
          <w:iCs w:val="false"/>
          <w:color w:val="1A1A1A"/>
          <w:sz w:val="22"/>
          <w:szCs w:val="22"/>
        </w:rPr>
        <w:t xml:space="preserve">La cécité culturelle a une caractéristique psychologique particulière. Ceux qui en souffrent ne s'en aperçoivent qu'après l'échec. Un cadre brillant à Paris, fluent en anglais, croit en bonne foi qu'il saura opérer à Hong Kong. Il ne s'imagine pas que sa façon de présenter un contrat, de structurer un email, de répondre à un silence — toutes choses qui fonctionnent à Paris — pourra être contre-productive ailleurs.</w:t>
      </w:r>
    </w:p>
    <w:p>
      <w:pPr>
        <w:spacing w:after="120" w:before="0" w:line="300"/>
        <w:jc w:val="both"/>
      </w:pPr>
      <w:r>
        <w:rPr>
          <w:rFonts w:ascii="Calibri" w:cs="Calibri" w:eastAsia="Calibri" w:hAnsi="Calibri"/>
          <w:b w:val="false"/>
          <w:bCs w:val="false"/>
          <w:i w:val="false"/>
          <w:iCs w:val="false"/>
          <w:color w:val="1A1A1A"/>
          <w:sz w:val="22"/>
          <w:szCs w:val="22"/>
        </w:rPr>
        <w:t xml:space="preserve">Ce biais s'appelle, en psychologie sociale, l'effet Dunning-Kruger appliqué à la culture. On ne sait pas ce qu'on ne sait pas. Et c'est précisément l'apprenant qui se croit le plus compétent qui prend le plus grand risque.</w:t>
      </w:r>
    </w:p>
    <w:p>
      <w:pPr>
        <w:pStyle w:val="Heading2"/>
        <w:spacing w:after="180" w:before="360"/>
      </w:pPr>
      <w:r>
        <w:rPr>
          <w:rFonts w:ascii="Calibri" w:cs="Calibri" w:eastAsia="Calibri" w:hAnsi="Calibri"/>
          <w:b/>
          <w:bCs/>
          <w:color w:val="0F1A2E"/>
          <w:sz w:val="28"/>
          <w:szCs w:val="28"/>
        </w:rPr>
        <w:t xml:space="preserve">1.3 · Le coût caché, en chiffres</w:t>
      </w:r>
    </w:p>
    <w:p>
      <w:pPr>
        <w:spacing w:after="120" w:before="0" w:line="300"/>
        <w:jc w:val="both"/>
      </w:pPr>
      <w:r>
        <w:rPr>
          <w:rFonts w:ascii="Calibri" w:cs="Calibri" w:eastAsia="Calibri" w:hAnsi="Calibri"/>
          <w:b w:val="false"/>
          <w:bCs w:val="false"/>
          <w:i w:val="false"/>
          <w:iCs w:val="false"/>
          <w:color w:val="1A1A1A"/>
          <w:sz w:val="22"/>
          <w:szCs w:val="22"/>
        </w:rPr>
        <w:t xml:space="preserve">Il n'existe pas, à ce jour, d'étude exhaustive chiffrant le coût annuel de la cécité culturelle pour les entreprises françaises. C'est en soi un symptôme du problème : nous ne mesurons pas ce que nous ne savons pas voir.</w:t>
      </w:r>
    </w:p>
    <w:p>
      <w:pPr>
        <w:spacing w:after="120" w:before="0" w:line="300"/>
        <w:jc w:val="both"/>
      </w:pPr>
      <w:r>
        <w:rPr>
          <w:rFonts w:ascii="Calibri" w:cs="Calibri" w:eastAsia="Calibri" w:hAnsi="Calibri"/>
          <w:b w:val="false"/>
          <w:bCs w:val="false"/>
          <w:i w:val="false"/>
          <w:iCs w:val="false"/>
          <w:color w:val="1A1A1A"/>
          <w:sz w:val="22"/>
          <w:szCs w:val="22"/>
        </w:rPr>
        <w:t xml:space="preserve">Cependant, des données partielles permettent de dimensionner le phénomène.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Source de coût</w:t>
            </w:r>
          </w:p>
        </w:tc>
        <w:tc>
          <w:tcPr>
            <w:tcW w:type="dxa" w:w="468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Estimation</w:t>
            </w:r>
          </w:p>
        </w:tc>
      </w:tr>
      <w:tr>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Échec d'expatriation (cadre rapatrié avant terme)</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250 à 500 K€ par cas, selon les études RH internationales</w:t>
            </w:r>
          </w:p>
        </w:tc>
      </w:tr>
      <w:tr>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Deal perdu pour incompréhension culturelle</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De quelques dizaines de milliers à plusieurs millions d'euros par cas</w:t>
            </w:r>
          </w:p>
        </w:tc>
      </w:tr>
      <w:tr>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Stage international écourté (étudiant)</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Coût direct pour l'école : crédits non validés, réputation, suivi RH</w:t>
            </w:r>
          </w:p>
        </w:tc>
      </w:tr>
      <w:tr>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Recrutement raté pour mauvaise lecture culturelle</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12 à 18 mois de salaire selon les benchmarks RH</w:t>
            </w:r>
          </w:p>
        </w:tc>
      </w:tr>
    </w:tbl>
    <w:p>
      <w:pPr>
        <w:spacing w:after="240"/>
      </w:pPr>
    </w:p>
    <w:p>
      <w:pPr>
        <w:spacing w:after="120" w:before="0" w:line="300"/>
        <w:jc w:val="both"/>
      </w:pPr>
      <w:r>
        <w:rPr>
          <w:rFonts w:ascii="Calibri" w:cs="Calibri" w:eastAsia="Calibri" w:hAnsi="Calibri"/>
          <w:b w:val="false"/>
          <w:bCs w:val="false"/>
          <w:i w:val="false"/>
          <w:iCs w:val="false"/>
          <w:color w:val="1A1A1A"/>
          <w:sz w:val="22"/>
          <w:szCs w:val="22"/>
        </w:rPr>
        <w:t xml:space="preserve">Ces chiffres, additionnés sur les quarante mille entreprises françaises ayant une activité internationale significative, représentent un coût annuel pouvant raisonnablement être estimé à plusieurs centaines de millions d'euros. Mais ce n'est pas le chiffre qui compte. C'est sa caractéristique : il est, aujourd'hui, entièrement invisible aux directions financières.</w:t>
      </w:r>
    </w:p>
    <w:p>
      <w:pPr>
        <w:spacing w:after="120" w:before="0" w:line="300"/>
        <w:jc w:val="both"/>
      </w:pPr>
      <w:r>
        <w:rPr>
          <w:rFonts w:ascii="Calibri" w:cs="Calibri" w:eastAsia="Calibri" w:hAnsi="Calibri"/>
          <w:b w:val="false"/>
          <w:bCs w:val="false"/>
          <w:i w:val="false"/>
          <w:iCs w:val="false"/>
          <w:color w:val="1A1A1A"/>
          <w:sz w:val="22"/>
          <w:szCs w:val="22"/>
        </w:rPr>
        <w:t xml:space="preserve">La thèse que nous défendons dans ce livre blanc est simple. Rendre visible ce coût caché, c'est ouvrir un nouveau marché pour la formation, et un nouveau levier pour les directions des ressources humaines. C'est le pari de Questia.</w:t>
      </w:r>
    </w:p>
    <w:p>
      <w:r>
        <w:br w:type="page"/>
      </w:r>
    </w:p>
    <w:p>
      <w:pPr>
        <w:spacing w:after="80" w:before="480"/>
      </w:pPr>
      <w:r>
        <w:rPr>
          <w:rFonts w:ascii="Calibri" w:cs="Calibri" w:eastAsia="Calibri" w:hAnsi="Calibri"/>
          <w:b/>
          <w:bCs/>
          <w:color w:val="B8794B"/>
          <w:sz w:val="18"/>
          <w:szCs w:val="18"/>
        </w:rPr>
        <w:t xml:space="preserve">CHAPITRE 2</w:t>
      </w:r>
    </w:p>
    <w:p>
      <w:pPr>
        <w:pStyle w:val="Heading1"/>
        <w:spacing w:after="360" w:before="0"/>
      </w:pPr>
      <w:r>
        <w:rPr>
          <w:rFonts w:ascii="Calibri" w:cs="Calibri" w:eastAsia="Calibri" w:hAnsi="Calibri"/>
          <w:b/>
          <w:bCs/>
          <w:color w:val="0F1A2E"/>
          <w:sz w:val="40"/>
          <w:szCs w:val="40"/>
        </w:rPr>
        <w:t xml:space="preserve">Pourquoi les outils actuels échouent</w:t>
      </w:r>
    </w:p>
    <w:p>
      <w:pPr>
        <w:spacing w:after="120" w:before="0" w:line="300"/>
        <w:jc w:val="both"/>
      </w:pPr>
      <w:r>
        <w:rPr>
          <w:rFonts w:ascii="Calibri" w:cs="Calibri" w:eastAsia="Calibri" w:hAnsi="Calibri"/>
          <w:b w:val="false"/>
          <w:bCs w:val="false"/>
          <w:i w:val="false"/>
          <w:iCs w:val="false"/>
          <w:color w:val="1A1A1A"/>
          <w:sz w:val="22"/>
          <w:szCs w:val="22"/>
        </w:rPr>
        <w:t xml:space="preserve">Le marché de la formation linguistique en France représente, en 2026, un volume estimé à trente-cinq milliards d'euros, en croissance de vingt-cinq pour cent depuis 2022. Ce marché est servi par une multiplicité d'acteurs, depuis les applications grand public jusqu'aux cabinets de conseil interculturel. Aucun, à notre connaissance, n'adresse spécifiquement la dimension culturelle de la communication professionnelle de manière mesurable et continue.</w:t>
      </w:r>
    </w:p>
    <w:p>
      <w:pPr>
        <w:spacing w:after="120" w:before="0" w:line="300"/>
        <w:jc w:val="both"/>
      </w:pPr>
      <w:r>
        <w:rPr>
          <w:rFonts w:ascii="Calibri" w:cs="Calibri" w:eastAsia="Calibri" w:hAnsi="Calibri"/>
          <w:b w:val="false"/>
          <w:bCs w:val="false"/>
          <w:i w:val="false"/>
          <w:iCs w:val="false"/>
          <w:color w:val="1A1A1A"/>
          <w:sz w:val="22"/>
          <w:szCs w:val="22"/>
        </w:rPr>
        <w:t xml:space="preserve">Pour comprendre pourquoi, nous analysons dans ce chapitre cinq grandes catégories de solutions, en identifiant ce qu'elles font bien, ce qu'elles ne font pas, et pourquoi elles laissent un trou béant dans le marché.</w:t>
      </w:r>
    </w:p>
    <w:p>
      <w:pPr>
        <w:pStyle w:val="Heading2"/>
        <w:spacing w:after="180" w:before="360"/>
      </w:pPr>
      <w:r>
        <w:rPr>
          <w:rFonts w:ascii="Calibri" w:cs="Calibri" w:eastAsia="Calibri" w:hAnsi="Calibri"/>
          <w:b/>
          <w:bCs/>
          <w:color w:val="0F1A2E"/>
          <w:sz w:val="28"/>
          <w:szCs w:val="28"/>
        </w:rPr>
        <w:t xml:space="preserve">2.1 · Les applications grand public d'apprentissage des langues</w:t>
      </w:r>
    </w:p>
    <w:p>
      <w:pPr>
        <w:spacing w:after="120" w:before="0" w:line="300"/>
        <w:jc w:val="both"/>
      </w:pPr>
      <w:r>
        <w:rPr>
          <w:rFonts w:ascii="Calibri" w:cs="Calibri" w:eastAsia="Calibri" w:hAnsi="Calibri"/>
          <w:b w:val="false"/>
          <w:bCs w:val="false"/>
          <w:i w:val="false"/>
          <w:iCs w:val="false"/>
          <w:color w:val="1A1A1A"/>
          <w:sz w:val="22"/>
          <w:szCs w:val="22"/>
        </w:rPr>
        <w:t xml:space="preserve">Babbel, Rosetta Stone, Duolingo, Mondly. Ces solutions dominent le marché par leur notoriété et leur accessibilité financière. Leur promesse : apprendre une langue en quelques minutes par jour, à son rythme, par des exercices courts et gamifiés.</w:t>
      </w:r>
    </w:p>
    <w:p>
      <w:pPr>
        <w:spacing w:after="120" w:before="0" w:line="300"/>
        <w:jc w:val="both"/>
      </w:pPr>
      <w:r>
        <w:rPr>
          <w:rFonts w:ascii="Calibri" w:cs="Calibri" w:eastAsia="Calibri" w:hAnsi="Calibri"/>
          <w:b w:val="false"/>
          <w:bCs w:val="false"/>
          <w:i w:val="false"/>
          <w:iCs w:val="false"/>
          <w:color w:val="1A1A1A"/>
          <w:sz w:val="22"/>
          <w:szCs w:val="22"/>
        </w:rPr>
        <w:t xml:space="preserve">Ce qu'elles font bien : elles construisent un socle lexical et grammatical solide, à un coût marginal très bas pour l'utilisateur. Elles habituent l'apprenant à la régularité, qui est la condition sine qua non de tout apprentissage langagier. Et elles offrent, pour certaines, un suivi de progression CECRL crédible.</w:t>
      </w:r>
    </w:p>
    <w:p>
      <w:pPr>
        <w:spacing w:after="120" w:before="0" w:line="300"/>
        <w:jc w:val="both"/>
      </w:pPr>
      <w:r>
        <w:rPr>
          <w:rFonts w:ascii="Calibri" w:cs="Calibri" w:eastAsia="Calibri" w:hAnsi="Calibri"/>
          <w:b w:val="false"/>
          <w:bCs w:val="false"/>
          <w:i w:val="false"/>
          <w:iCs w:val="false"/>
          <w:color w:val="1A1A1A"/>
          <w:sz w:val="22"/>
          <w:szCs w:val="22"/>
        </w:rPr>
        <w:t xml:space="preserve">Ce qu'elles ne font pas : elles ne forment pas à la culture. Aucune leçon de Babbel n'apprend qu'à Hong Kong, dire non frontalement à une proposition est socialement coûteux. Aucun exercice de Duolingo ne signale qu'à Lagos, le temps d'une négociation est différent du temps d'une négociation à Paris. Et aucune de ces applications n'offre à un encadrant — formateur, manager L&amp;D, prof — la capacité de créer des scénarios métier sur-mesure pour son contexte.</w:t>
      </w:r>
    </w:p>
    <w:p>
      <w:pPr>
        <w:pBdr>
          <w:top w:val="single" w:color="B8794B" w:sz="6"/>
          <w:bottom w:val="single" w:color="B8794B" w:sz="6"/>
          <w:left w:val="single" w:color="B8794B" w:sz="6"/>
          <w:right w:val="single" w:color="B8794B" w:sz="6"/>
        </w:pBdr>
        <w:shd w:fill="FDF6E3" w:val="clear"/>
        <w:spacing w:after="240" w:before="240"/>
        <w:ind w:left="240" w:right="240"/>
      </w:pPr>
      <w:r>
        <w:rPr>
          <w:rFonts w:ascii="Calibri" w:cs="Calibri" w:eastAsia="Calibri" w:hAnsi="Calibri"/>
          <w:b/>
          <w:bCs/>
          <w:color w:val="B8794B"/>
          <w:sz w:val="22"/>
          <w:szCs w:val="22"/>
        </w:rPr>
        <w:t xml:space="preserve">★ Le verdict sur les applis grand public</w:t>
      </w:r>
      <w:r>
        <w:br/>
        <w:t xml:space="preserve"/>
      </w:r>
      <w:r>
        <w:rPr>
          <w:rFonts w:ascii="Calibri" w:cs="Calibri" w:eastAsia="Calibri" w:hAnsi="Calibri"/>
          <w:color w:val="1A1A1A"/>
          <w:sz w:val="22"/>
          <w:szCs w:val="22"/>
        </w:rPr>
        <w:t xml:space="preserve">Elles sont un excellent point de départ. Elles sont un terrible point d'arrivée. Un cadre formé exclusivement sur Babbel se croira prêt à opérer à l'international. Il ne le sera pas.</w:t>
      </w:r>
    </w:p>
    <w:p>
      <w:pPr>
        <w:pStyle w:val="Heading2"/>
        <w:spacing w:after="180" w:before="360"/>
      </w:pPr>
      <w:r>
        <w:rPr>
          <w:rFonts w:ascii="Calibri" w:cs="Calibri" w:eastAsia="Calibri" w:hAnsi="Calibri"/>
          <w:b/>
          <w:bCs/>
          <w:color w:val="0F1A2E"/>
          <w:sz w:val="28"/>
          <w:szCs w:val="28"/>
        </w:rPr>
        <w:t xml:space="preserve">2.2 · Les plateformes B2B de formation linguistique</w:t>
      </w:r>
    </w:p>
    <w:p>
      <w:pPr>
        <w:spacing w:after="120" w:before="0" w:line="300"/>
        <w:jc w:val="both"/>
      </w:pPr>
      <w:r>
        <w:rPr>
          <w:rFonts w:ascii="Calibri" w:cs="Calibri" w:eastAsia="Calibri" w:hAnsi="Calibri"/>
          <w:b w:val="false"/>
          <w:bCs w:val="false"/>
          <w:i w:val="false"/>
          <w:iCs w:val="false"/>
          <w:color w:val="1A1A1A"/>
          <w:sz w:val="22"/>
          <w:szCs w:val="22"/>
        </w:rPr>
        <w:t xml:space="preserve">EF Corporate Solutions, goFLUENT, GlobalExam. Ce segment, plus mature, s'adresse aux entreprises avec des fonctionnalités structurées : intégration aux systèmes d'apprentissage de l'entreprise, suivi cohorte par cohorte, certifications reconnues, accompagnement par des coachs natifs.</w:t>
      </w:r>
    </w:p>
    <w:p>
      <w:pPr>
        <w:spacing w:after="120" w:before="0" w:line="300"/>
        <w:jc w:val="both"/>
      </w:pPr>
      <w:r>
        <w:rPr>
          <w:rFonts w:ascii="Calibri" w:cs="Calibri" w:eastAsia="Calibri" w:hAnsi="Calibri"/>
          <w:b w:val="false"/>
          <w:bCs w:val="false"/>
          <w:i w:val="false"/>
          <w:iCs w:val="false"/>
          <w:color w:val="1A1A1A"/>
          <w:sz w:val="22"/>
          <w:szCs w:val="22"/>
        </w:rPr>
        <w:t xml:space="preserve">Ce qu'elles font bien : elles offrent une infrastructure pédagogique sérieuse, avec un cadre méthodologique structuré et un suivi de progression. Elles s'intègrent aux outils de l'entreprise. Elles produisent des certifications externes valables sur un CV ou pour un audit.</w:t>
      </w:r>
    </w:p>
    <w:p>
      <w:pPr>
        <w:spacing w:after="120" w:before="0" w:line="300"/>
        <w:jc w:val="both"/>
      </w:pPr>
      <w:r>
        <w:rPr>
          <w:rFonts w:ascii="Calibri" w:cs="Calibri" w:eastAsia="Calibri" w:hAnsi="Calibri"/>
          <w:b w:val="false"/>
          <w:bCs w:val="false"/>
          <w:i w:val="false"/>
          <w:iCs w:val="false"/>
          <w:color w:val="1A1A1A"/>
          <w:sz w:val="22"/>
          <w:szCs w:val="22"/>
        </w:rPr>
        <w:t xml:space="preserve">Ce qu'elles ne font pas : malgré leur sérieux pédagogique, elles restent centrées sur la langue. Aucune n'a, à ce jour, intégré un module systématique de codification des biais culturels. Aucune ne propose à l'apprenant un retour sur la manière dont il se comporte — seulement sur la manière dont il s'exprime.</w:t>
      </w:r>
    </w:p>
    <w:p>
      <w:pPr>
        <w:spacing w:after="120" w:before="0" w:line="300"/>
        <w:jc w:val="both"/>
      </w:pPr>
      <w:r>
        <w:rPr>
          <w:rFonts w:ascii="Calibri" w:cs="Calibri" w:eastAsia="Calibri" w:hAnsi="Calibri"/>
          <w:b w:val="false"/>
          <w:bCs w:val="false"/>
          <w:i w:val="false"/>
          <w:iCs w:val="false"/>
          <w:color w:val="1A1A1A"/>
          <w:sz w:val="22"/>
          <w:szCs w:val="22"/>
        </w:rPr>
        <w:t xml:space="preserve">Par ailleurs, ces plateformes ont une faiblesse propre au modèle SaaS B2B classique : elles vendent du contenu pré-fait. L'encadrant — formateur, prof, manager — n'a quasiment aucune capacité à composer ses propres scénarios métier. Or, c'est précisément ce que demandent les acteurs du terrain que nous avons interrogés.</w:t>
      </w:r>
    </w:p>
    <w:p>
      <w:pPr>
        <w:pStyle w:val="Heading2"/>
        <w:spacing w:after="180" w:before="360"/>
      </w:pPr>
      <w:r>
        <w:rPr>
          <w:rFonts w:ascii="Calibri" w:cs="Calibri" w:eastAsia="Calibri" w:hAnsi="Calibri"/>
          <w:b/>
          <w:bCs/>
          <w:color w:val="0F1A2E"/>
          <w:sz w:val="28"/>
          <w:szCs w:val="28"/>
        </w:rPr>
        <w:t xml:space="preserve">2.3 · Les immersions linguistiques à l'étranger</w:t>
      </w:r>
    </w:p>
    <w:p>
      <w:pPr>
        <w:spacing w:after="120" w:before="0" w:line="300"/>
        <w:jc w:val="both"/>
      </w:pPr>
      <w:r>
        <w:rPr>
          <w:rFonts w:ascii="Calibri" w:cs="Calibri" w:eastAsia="Calibri" w:hAnsi="Calibri"/>
          <w:b w:val="false"/>
          <w:bCs w:val="false"/>
          <w:i w:val="false"/>
          <w:iCs w:val="false"/>
          <w:color w:val="1A1A1A"/>
          <w:sz w:val="22"/>
          <w:szCs w:val="22"/>
        </w:rPr>
        <w:t xml:space="preserve">EF, Kaplan International, ESL, Sprachcaffe. Ces acteurs proposent des séjours linguistiques en pays anglophones — Royaume-Uni, États-Unis, Malte, Irlande — combinant cours intensifs et immersion dans le pays. Pour les cadres seniors, les formules sont souvent personnalisées : business english intensif sur deux à quatre semaines, avec des coachs natifs en cours individuels.</w:t>
      </w:r>
    </w:p>
    <w:p>
      <w:pPr>
        <w:spacing w:after="120" w:before="0" w:line="300"/>
        <w:jc w:val="both"/>
      </w:pPr>
      <w:r>
        <w:rPr>
          <w:rFonts w:ascii="Calibri" w:cs="Calibri" w:eastAsia="Calibri" w:hAnsi="Calibri"/>
          <w:b w:val="false"/>
          <w:bCs w:val="false"/>
          <w:i w:val="false"/>
          <w:iCs w:val="false"/>
          <w:color w:val="1A1A1A"/>
          <w:sz w:val="22"/>
          <w:szCs w:val="22"/>
        </w:rPr>
        <w:t xml:space="preserve">Ce qu'elles font bien : rien ne remplace l'immersion réelle. Un cadre qui passe trois semaines à Londres ou New York pratique l'anglais dans toutes les situations du quotidien — taxis, restaurants, conversations informelles, presse. Il développe une aisance que ne donne aucune application.</w:t>
      </w:r>
    </w:p>
    <w:p>
      <w:pPr>
        <w:spacing w:after="120" w:before="0" w:line="300"/>
        <w:jc w:val="both"/>
      </w:pPr>
      <w:r>
        <w:rPr>
          <w:rFonts w:ascii="Calibri" w:cs="Calibri" w:eastAsia="Calibri" w:hAnsi="Calibri"/>
          <w:b w:val="false"/>
          <w:bCs w:val="false"/>
          <w:i w:val="false"/>
          <w:iCs w:val="false"/>
          <w:color w:val="1A1A1A"/>
          <w:sz w:val="22"/>
          <w:szCs w:val="22"/>
        </w:rPr>
        <w:t xml:space="preserve">Ce qu'elles ne font pas : elles coûtent entre cinq et quinze mille euros par participant, parfois plus. Elles ne sont pas scalables — une entreprise ne peut pas envoyer cinq cents cadres à Londres. Et surtout, elles préparent à la culture du pays d'accueil, pas à celle des marchés que les cadres devront servir. Un cadre formé à Londres ne saura pas pour autant négocier à Hong Kong ou à Lagos. Le mythe de l'anglais comme langue universelle masque le fait que chaque marché anglophone a ses propres codes.</w:t>
      </w:r>
    </w:p>
    <w:p>
      <w:pPr>
        <w:pStyle w:val="Heading2"/>
        <w:spacing w:after="180" w:before="360"/>
      </w:pPr>
      <w:r>
        <w:rPr>
          <w:rFonts w:ascii="Calibri" w:cs="Calibri" w:eastAsia="Calibri" w:hAnsi="Calibri"/>
          <w:b/>
          <w:bCs/>
          <w:color w:val="0F1A2E"/>
          <w:sz w:val="28"/>
          <w:szCs w:val="28"/>
        </w:rPr>
        <w:t xml:space="preserve">2.4 · Les cabinets de management interculturel</w:t>
      </w:r>
    </w:p>
    <w:p>
      <w:pPr>
        <w:spacing w:after="120" w:before="0" w:line="300"/>
        <w:jc w:val="both"/>
      </w:pPr>
      <w:r>
        <w:rPr>
          <w:rFonts w:ascii="Calibri" w:cs="Calibri" w:eastAsia="Calibri" w:hAnsi="Calibri"/>
          <w:b w:val="false"/>
          <w:bCs w:val="false"/>
          <w:i w:val="false"/>
          <w:iCs w:val="false"/>
          <w:color w:val="1A1A1A"/>
          <w:sz w:val="22"/>
          <w:szCs w:val="22"/>
        </w:rPr>
        <w:t xml:space="preserve">Akteos, ICM, CrossCulture, RW3. Ces cabinets proposent des workshops ciblés — généralement un à trois jours — sur les codes culturels d'un marché spécifique. Ils sont reconnus, scientifiquement étayés, et s'appuient souvent sur des cadres théoriques solides comme ceux d'Erin Meyer ou de Geert Hofstede.</w:t>
      </w:r>
    </w:p>
    <w:p>
      <w:pPr>
        <w:spacing w:after="120" w:before="0" w:line="300"/>
        <w:jc w:val="both"/>
      </w:pPr>
      <w:r>
        <w:rPr>
          <w:rFonts w:ascii="Calibri" w:cs="Calibri" w:eastAsia="Calibri" w:hAnsi="Calibri"/>
          <w:b w:val="false"/>
          <w:bCs w:val="false"/>
          <w:i w:val="false"/>
          <w:iCs w:val="false"/>
          <w:color w:val="1A1A1A"/>
          <w:sz w:val="22"/>
          <w:szCs w:val="22"/>
        </w:rPr>
        <w:t xml:space="preserve">Ce qu'ils font bien : ils sont les premiers, et longtemps les seuls, à avoir codifié la dimension culturelle de la communication d'affaires. Ils forment des formateurs, ils produisent des contenus de référence, ils accompagnent des entreprises depuis les années 1980. Leur expertise est réelle.</w:t>
      </w:r>
    </w:p>
    <w:p>
      <w:pPr>
        <w:spacing w:after="120" w:before="0" w:line="300"/>
        <w:jc w:val="both"/>
      </w:pPr>
      <w:r>
        <w:rPr>
          <w:rFonts w:ascii="Calibri" w:cs="Calibri" w:eastAsia="Calibri" w:hAnsi="Calibri"/>
          <w:b w:val="false"/>
          <w:bCs w:val="false"/>
          <w:i w:val="false"/>
          <w:iCs w:val="false"/>
          <w:color w:val="1A1A1A"/>
          <w:sz w:val="22"/>
          <w:szCs w:val="22"/>
        </w:rPr>
        <w:t xml:space="preserve">Ce qu'ils ne font pas : leur modèle économique est celui du workshop one-shot. Un cadre suit une journée de formation sur les codes asiatiques, puis retourne dans son entreprise. Il n'y a aucun suivi de la mise en pratique. Aucune mesure de la rétention. Aucune répétition espacée. Selon les études en sciences cognitives appliquées à l'apprentissage, soixante-dix pour cent de ce qui est appris en une session de formation est oublié sous trente jours, sans réactivation.</w:t>
      </w:r>
    </w:p>
    <w:p>
      <w:pPr>
        <w:pBdr>
          <w:top w:val="single" w:color="B8794B" w:sz="6"/>
          <w:bottom w:val="single" w:color="B8794B" w:sz="6"/>
          <w:left w:val="single" w:color="B8794B" w:sz="6"/>
          <w:right w:val="single" w:color="B8794B" w:sz="6"/>
        </w:pBdr>
        <w:shd w:fill="FDF6E3" w:val="clear"/>
        <w:spacing w:after="240" w:before="240"/>
        <w:ind w:left="240" w:right="240"/>
      </w:pPr>
      <w:r>
        <w:rPr>
          <w:rFonts w:ascii="Calibri" w:cs="Calibri" w:eastAsia="Calibri" w:hAnsi="Calibri"/>
          <w:b/>
          <w:bCs/>
          <w:color w:val="B8794B"/>
          <w:sz w:val="22"/>
          <w:szCs w:val="22"/>
        </w:rPr>
        <w:t xml:space="preserve">★ L'oubli structurel des cabinets interculturels</w:t>
      </w:r>
      <w:r>
        <w:br/>
        <w:t xml:space="preserve"/>
      </w:r>
      <w:r>
        <w:rPr>
          <w:rFonts w:ascii="Calibri" w:cs="Calibri" w:eastAsia="Calibri" w:hAnsi="Calibri"/>
          <w:color w:val="1A1A1A"/>
          <w:sz w:val="22"/>
          <w:szCs w:val="22"/>
        </w:rPr>
        <w:t xml:space="preserve">Un cadre formé en janvier sur les codes culturels chinois aura, en juin, oublié l'essentiel du contenu. Sauf à pratiquer continûment dans un dispositif structuré, l'investissement de l'entreprise est largement dissipé en six mois.</w:t>
      </w:r>
    </w:p>
    <w:p>
      <w:pPr>
        <w:pStyle w:val="Heading2"/>
        <w:spacing w:after="180" w:before="360"/>
      </w:pPr>
      <w:r>
        <w:rPr>
          <w:rFonts w:ascii="Calibri" w:cs="Calibri" w:eastAsia="Calibri" w:hAnsi="Calibri"/>
          <w:b/>
          <w:bCs/>
          <w:color w:val="0F1A2E"/>
          <w:sz w:val="28"/>
          <w:szCs w:val="28"/>
        </w:rPr>
        <w:t xml:space="preserve">2.5 · Les outils d'IA générative en mode conversation libre</w:t>
      </w:r>
    </w:p>
    <w:p>
      <w:pPr>
        <w:spacing w:after="120" w:before="0" w:line="300"/>
        <w:jc w:val="both"/>
      </w:pPr>
      <w:r>
        <w:rPr>
          <w:rFonts w:ascii="Calibri" w:cs="Calibri" w:eastAsia="Calibri" w:hAnsi="Calibri"/>
          <w:b w:val="false"/>
          <w:bCs w:val="false"/>
          <w:i w:val="false"/>
          <w:iCs w:val="false"/>
          <w:color w:val="1A1A1A"/>
          <w:sz w:val="22"/>
          <w:szCs w:val="22"/>
        </w:rPr>
        <w:t xml:space="preserve">Depuis 2023, une nouvelle catégorie d'outils est entrée sur le marché par effraction : les modèles de langage généralistes — ChatGPT, Claude, Gemini — utilisés en mode jeu de rôle. Un cadre peut littéralement demander à ChatGPT de simuler une négociation avec un partenaire chinois, et engager une conversation libre en anglais.</w:t>
      </w:r>
    </w:p>
    <w:p>
      <w:pPr>
        <w:spacing w:after="120" w:before="0" w:line="300"/>
        <w:jc w:val="both"/>
      </w:pPr>
      <w:r>
        <w:rPr>
          <w:rFonts w:ascii="Calibri" w:cs="Calibri" w:eastAsia="Calibri" w:hAnsi="Calibri"/>
          <w:b w:val="false"/>
          <w:bCs w:val="false"/>
          <w:i w:val="false"/>
          <w:iCs w:val="false"/>
          <w:color w:val="1A1A1A"/>
          <w:sz w:val="22"/>
          <w:szCs w:val="22"/>
        </w:rPr>
        <w:t xml:space="preserve">Ce que ces outils font bien : ils sont accessibles, gratuits ou peu coûteux, disponibles vingt-quatre heures sur vingt-quatre. Ils permettent une pratique conversationnelle d'une qualité linguistique remarquable. Et ils s'améliorent à chaque mise à jour.</w:t>
      </w:r>
    </w:p>
    <w:p>
      <w:pPr>
        <w:spacing w:after="120" w:before="0" w:line="300"/>
        <w:jc w:val="both"/>
      </w:pPr>
      <w:r>
        <w:rPr>
          <w:rFonts w:ascii="Calibri" w:cs="Calibri" w:eastAsia="Calibri" w:hAnsi="Calibri"/>
          <w:b w:val="false"/>
          <w:bCs w:val="false"/>
          <w:i w:val="false"/>
          <w:iCs w:val="false"/>
          <w:color w:val="1A1A1A"/>
          <w:sz w:val="22"/>
          <w:szCs w:val="22"/>
        </w:rPr>
        <w:t xml:space="preserve">Ce qu'ils ne font pas : tout le reste. Aucun cadre pédagogique. Aucun suivi de progression. Aucune mesure de la compétence interculturelle. Aucun export possible pour un audit Qualiopi, AACSB ou COMEX. Aucune validation par un expert humain. Et, surtout, aucune adaptation à des codes culturels spécifiques au-delà de stéréotypes parfois approximatifs.</w:t>
      </w:r>
    </w:p>
    <w:p>
      <w:pPr>
        <w:spacing w:after="120" w:before="0" w:line="300"/>
        <w:jc w:val="both"/>
      </w:pPr>
      <w:r>
        <w:rPr>
          <w:rFonts w:ascii="Calibri" w:cs="Calibri" w:eastAsia="Calibri" w:hAnsi="Calibri"/>
          <w:b w:val="false"/>
          <w:bCs w:val="false"/>
          <w:i w:val="false"/>
          <w:iCs w:val="false"/>
          <w:color w:val="1A1A1A"/>
          <w:sz w:val="22"/>
          <w:szCs w:val="22"/>
        </w:rPr>
        <w:t xml:space="preserve">Par ailleurs, deux formateurs sur trois que nous avons interrogés signalent un effet pervers de l'IA générative chez leurs apprenants : la triche, le copié-collé, la dilution de l'effort cognitif. Selon Tim White, formateur depuis trente-trois ans : « Les étudiants utilisent l'IA pour tricher. Et les jeux de données qu'ils injectent sont si spécifiques que l'outil oublie le contexte. » Selon Thomas, professeur en école de commerce : « Les étudiants ne progressent pas avec l'IA. »</w:t>
      </w:r>
    </w:p>
    <w:p>
      <w:pPr>
        <w:pStyle w:val="Heading2"/>
        <w:spacing w:after="180" w:before="360"/>
      </w:pPr>
      <w:r>
        <w:rPr>
          <w:rFonts w:ascii="Calibri" w:cs="Calibri" w:eastAsia="Calibri" w:hAnsi="Calibri"/>
          <w:b/>
          <w:bCs/>
          <w:color w:val="0F1A2E"/>
          <w:sz w:val="28"/>
          <w:szCs w:val="28"/>
        </w:rPr>
        <w:t xml:space="preserve">2.6 · Le trou dans le marché</w:t>
      </w:r>
    </w:p>
    <w:p>
      <w:pPr>
        <w:spacing w:after="120" w:before="0" w:line="300"/>
        <w:jc w:val="both"/>
      </w:pPr>
      <w:r>
        <w:rPr>
          <w:rFonts w:ascii="Calibri" w:cs="Calibri" w:eastAsia="Calibri" w:hAnsi="Calibri"/>
          <w:b w:val="false"/>
          <w:bCs w:val="false"/>
          <w:i w:val="false"/>
          <w:iCs w:val="false"/>
          <w:color w:val="1A1A1A"/>
          <w:sz w:val="22"/>
          <w:szCs w:val="22"/>
        </w:rPr>
        <w:t xml:space="preserve">Au terme de ce tour d'horizon, nous identifions cinq besoins simultanés qu'aucune solution actuelle ne couvre intégralement.</w:t>
      </w:r>
    </w:p>
    <w:p>
      <w:pPr>
        <w:pStyle w:val="ListParagraph"/>
        <w:numPr>
          <w:ilvl w:val="0"/>
          <w:numId w:val="2"/>
        </w:numPr>
        <w:spacing w:after="120" w:line="300"/>
      </w:pPr>
      <w:r>
        <w:rPr>
          <w:rFonts w:ascii="Calibri" w:cs="Calibri" w:eastAsia="Calibri" w:hAnsi="Calibri"/>
          <w:color w:val="1A1A1A"/>
          <w:sz w:val="22"/>
          <w:szCs w:val="22"/>
        </w:rPr>
        <w:t xml:space="preserve">Apprendre la langue, dans un cadre pédagogique structuré, avec un suivi de progression CECRL crédible.</w:t>
      </w:r>
    </w:p>
    <w:p>
      <w:pPr>
        <w:pStyle w:val="ListParagraph"/>
        <w:numPr>
          <w:ilvl w:val="0"/>
          <w:numId w:val="2"/>
        </w:numPr>
        <w:spacing w:after="120" w:line="300"/>
      </w:pPr>
      <w:r>
        <w:rPr>
          <w:rFonts w:ascii="Calibri" w:cs="Calibri" w:eastAsia="Calibri" w:hAnsi="Calibri"/>
          <w:color w:val="1A1A1A"/>
          <w:sz w:val="22"/>
          <w:szCs w:val="22"/>
        </w:rPr>
        <w:t xml:space="preserve">Apprendre les codes culturels d'un marché spécifique, de manière mesurable et opposable.</w:t>
      </w:r>
    </w:p>
    <w:p>
      <w:pPr>
        <w:pStyle w:val="ListParagraph"/>
        <w:numPr>
          <w:ilvl w:val="0"/>
          <w:numId w:val="2"/>
        </w:numPr>
        <w:spacing w:after="120" w:line="300"/>
      </w:pPr>
      <w:r>
        <w:rPr>
          <w:rFonts w:ascii="Calibri" w:cs="Calibri" w:eastAsia="Calibri" w:hAnsi="Calibri"/>
          <w:color w:val="1A1A1A"/>
          <w:sz w:val="22"/>
          <w:szCs w:val="22"/>
        </w:rPr>
        <w:t xml:space="preserve">Pratiquer dans des scénarios métier réels, créés par l'encadrant de l'apprenant et adaptés à son contexte.</w:t>
      </w:r>
    </w:p>
    <w:p>
      <w:pPr>
        <w:pStyle w:val="ListParagraph"/>
        <w:numPr>
          <w:ilvl w:val="0"/>
          <w:numId w:val="2"/>
        </w:numPr>
        <w:spacing w:after="120" w:line="300"/>
      </w:pPr>
      <w:r>
        <w:rPr>
          <w:rFonts w:ascii="Calibri" w:cs="Calibri" w:eastAsia="Calibri" w:hAnsi="Calibri"/>
          <w:color w:val="1A1A1A"/>
          <w:sz w:val="22"/>
          <w:szCs w:val="22"/>
        </w:rPr>
        <w:t xml:space="preserve">Mesurer la progression dans le temps, par un score chiffrable et exportable.</w:t>
      </w:r>
    </w:p>
    <w:p>
      <w:pPr>
        <w:pStyle w:val="ListParagraph"/>
        <w:numPr>
          <w:ilvl w:val="0"/>
          <w:numId w:val="2"/>
        </w:numPr>
        <w:spacing w:after="120" w:line="300"/>
      </w:pPr>
      <w:r>
        <w:rPr>
          <w:rFonts w:ascii="Calibri" w:cs="Calibri" w:eastAsia="Calibri" w:hAnsi="Calibri"/>
          <w:color w:val="1A1A1A"/>
          <w:sz w:val="22"/>
          <w:szCs w:val="22"/>
        </w:rPr>
        <w:t xml:space="preserve">Respecter les contraintes européennes en matière d'IA, de données personnelles et de souveraineté.</w:t>
      </w:r>
    </w:p>
    <w:p>
      <w:pPr>
        <w:spacing w:after="120" w:before="0" w:line="300"/>
        <w:jc w:val="both"/>
      </w:pPr>
      <w:r>
        <w:rPr>
          <w:rFonts w:ascii="Calibri" w:cs="Calibri" w:eastAsia="Calibri" w:hAnsi="Calibri"/>
          <w:b w:val="false"/>
          <w:bCs w:val="false"/>
          <w:i w:val="false"/>
          <w:iCs w:val="false"/>
          <w:color w:val="1A1A1A"/>
          <w:sz w:val="22"/>
          <w:szCs w:val="22"/>
        </w:rPr>
        <w:t xml:space="preserve">Aucune des solutions analysées dans ce chapitre ne couvre les cinq besoins. La plupart en couvrent un ou deux. C'est ce trou que Questia propose de combler.</w:t>
      </w:r>
    </w:p>
    <w:p>
      <w:r>
        <w:br w:type="page"/>
      </w:r>
    </w:p>
    <w:p>
      <w:pPr>
        <w:spacing w:after="80" w:before="480"/>
      </w:pPr>
      <w:r>
        <w:rPr>
          <w:rFonts w:ascii="Calibri" w:cs="Calibri" w:eastAsia="Calibri" w:hAnsi="Calibri"/>
          <w:b/>
          <w:bCs/>
          <w:color w:val="B8794B"/>
          <w:sz w:val="18"/>
          <w:szCs w:val="18"/>
        </w:rPr>
        <w:t xml:space="preserve">CHAPITRE 3</w:t>
      </w:r>
    </w:p>
    <w:p>
      <w:pPr>
        <w:pStyle w:val="Heading1"/>
        <w:spacing w:after="360" w:before="0"/>
      </w:pPr>
      <w:r>
        <w:rPr>
          <w:rFonts w:ascii="Calibri" w:cs="Calibri" w:eastAsia="Calibri" w:hAnsi="Calibri"/>
          <w:b/>
          <w:bCs/>
          <w:color w:val="0F1A2E"/>
          <w:sz w:val="40"/>
          <w:szCs w:val="40"/>
        </w:rPr>
        <w:t xml:space="preserve">Ce que disent les acteurs du terrain</w:t>
      </w:r>
    </w:p>
    <w:p>
      <w:pPr>
        <w:spacing w:after="120" w:before="0" w:line="300"/>
        <w:jc w:val="both"/>
      </w:pPr>
      <w:r>
        <w:rPr>
          <w:rFonts w:ascii="Calibri" w:cs="Calibri" w:eastAsia="Calibri" w:hAnsi="Calibri"/>
          <w:b w:val="false"/>
          <w:bCs w:val="false"/>
          <w:i w:val="false"/>
          <w:iCs w:val="false"/>
          <w:color w:val="1A1A1A"/>
          <w:sz w:val="22"/>
          <w:szCs w:val="22"/>
        </w:rPr>
        <w:t xml:space="preserve">Pour valider notre lecture du marché, nous avons mené, au cours du premier trimestre 2026, une série d'entretiens semi-directifs avec des praticiens de la formation linguistique en entreprise et en école. Nous présentons ici la synthèse de trois de ces entretiens, conduits par Natalia Strazzacappa, chargée du développement chez Questia. Ces trois entretiens ne prétendent pas à une représentativité statistique, mais ils convergent sur des signaux qui éclairent notre lecture du marché.</w:t>
      </w:r>
    </w:p>
    <w:p>
      <w:pPr>
        <w:pStyle w:val="Heading2"/>
        <w:spacing w:after="180" w:before="360"/>
      </w:pPr>
      <w:r>
        <w:rPr>
          <w:rFonts w:ascii="Calibri" w:cs="Calibri" w:eastAsia="Calibri" w:hAnsi="Calibri"/>
          <w:b/>
          <w:bCs/>
          <w:color w:val="0F1A2E"/>
          <w:sz w:val="28"/>
          <w:szCs w:val="28"/>
        </w:rPr>
        <w:t xml:space="preserve">3.1 · Méthodologie</w:t>
      </w:r>
    </w:p>
    <w:p>
      <w:pPr>
        <w:spacing w:after="120" w:before="0" w:line="300"/>
        <w:jc w:val="both"/>
      </w:pPr>
      <w:r>
        <w:rPr>
          <w:rFonts w:ascii="Calibri" w:cs="Calibri" w:eastAsia="Calibri" w:hAnsi="Calibri"/>
          <w:b w:val="false"/>
          <w:bCs w:val="false"/>
          <w:i w:val="false"/>
          <w:iCs w:val="false"/>
          <w:color w:val="1A1A1A"/>
          <w:sz w:val="22"/>
          <w:szCs w:val="22"/>
        </w:rPr>
        <w:t xml:space="preserve">Nous avons sélectionné les trois interlocuteurs sur trois critères : une expérience opérationnelle dans la formation linguistique d'au moins cinq ans, une exposition régulière à des publics professionnels, et des profils contrastés afin de capter des sensibilités différentes.</w:t>
      </w:r>
    </w:p>
    <w:p>
      <w:pPr>
        <w:spacing w:after="120" w:before="0" w:line="300"/>
        <w:jc w:val="both"/>
      </w:pPr>
      <w:r>
        <w:rPr>
          <w:rFonts w:ascii="Calibri" w:cs="Calibri" w:eastAsia="Calibri" w:hAnsi="Calibri"/>
          <w:b w:val="false"/>
          <w:bCs w:val="false"/>
          <w:i w:val="false"/>
          <w:iCs w:val="false"/>
          <w:color w:val="1A1A1A"/>
          <w:sz w:val="22"/>
          <w:szCs w:val="22"/>
        </w:rPr>
        <w:t xml:space="preserve">Les entretiens, d'une durée moyenne de soixante minutes, ont été conduits selon un guide d'entretien semi-directif portant sur quatre dimensions : le diagnostic du marché, le rapport à l'IA, l'importance des codes culturels, et la mesure du retour sur investissement.</w:t>
      </w:r>
    </w:p>
    <w:p>
      <w:pPr>
        <w:pStyle w:val="Heading2"/>
        <w:spacing w:after="180" w:before="360"/>
      </w:pPr>
      <w:r>
        <w:rPr>
          <w:rFonts w:ascii="Calibri" w:cs="Calibri" w:eastAsia="Calibri" w:hAnsi="Calibri"/>
          <w:b/>
          <w:bCs/>
          <w:color w:val="0F1A2E"/>
          <w:sz w:val="28"/>
          <w:szCs w:val="28"/>
        </w:rPr>
        <w:t xml:space="preserve">3.2 · Tim White · trente-trois ans d'expérience</w:t>
      </w:r>
    </w:p>
    <w:p>
      <w:pPr>
        <w:spacing w:after="120" w:before="0" w:line="300"/>
        <w:jc w:val="both"/>
      </w:pPr>
      <w:r>
        <w:rPr>
          <w:rFonts w:ascii="Calibri" w:cs="Calibri" w:eastAsia="Calibri" w:hAnsi="Calibri"/>
          <w:b w:val="false"/>
          <w:bCs w:val="false"/>
          <w:i w:val="false"/>
          <w:iCs w:val="false"/>
          <w:color w:val="1A1A1A"/>
          <w:sz w:val="22"/>
          <w:szCs w:val="22"/>
        </w:rPr>
        <w:t xml:space="preserve">Tim White est formateur en anglais et en allemand. Il intervient depuis plus de trois décennies en écoles de commerce et en entreprise. Britannique installé en France, il a vu passer plusieurs générations d'apprenants et de méthodes.</w:t>
      </w:r>
    </w:p>
    <w:p>
      <w:pPr>
        <w:spacing w:after="120" w:before="0" w:line="300"/>
        <w:jc w:val="both"/>
      </w:pPr>
      <w:r>
        <w:rPr>
          <w:rFonts w:ascii="Calibri" w:cs="Calibri" w:eastAsia="Calibri" w:hAnsi="Calibri"/>
          <w:b w:val="false"/>
          <w:bCs w:val="false"/>
          <w:i w:val="false"/>
          <w:iCs w:val="false"/>
          <w:color w:val="1A1A1A"/>
          <w:sz w:val="22"/>
          <w:szCs w:val="22"/>
        </w:rPr>
        <w:t xml:space="preserve">Sa thèse centrale, exprimée à plusieurs reprises au cours de l'entretien, peut se résumer en une phrase : un étudiant peut être excellent sur le papier — TOEIC à 850, anglais fluide en cours — et nul sur le terrain. Ce décalage entre la performance académique et la performance opérationnelle est, selon Tim, le scandale silencieux de la formation linguistique.</w:t>
      </w:r>
    </w:p>
    <w:p>
      <w:pPr>
        <w:pBdr>
          <w:left w:val="single" w:color="B8794B" w:sz="24" w:space="12"/>
        </w:pBdr>
        <w:spacing w:after="240" w:before="240"/>
        <w:ind w:left="360" w:right="360"/>
        <w:jc w:val="left"/>
      </w:pPr>
      <w:r>
        <w:rPr>
          <w:rFonts w:ascii="Calibri" w:cs="Calibri" w:eastAsia="Calibri" w:hAnsi="Calibri"/>
          <w:i/>
          <w:iCs/>
          <w:color w:val="0F1A2E"/>
          <w:sz w:val="24"/>
          <w:szCs w:val="24"/>
        </w:rPr>
        <w:t xml:space="preserve">« Le marché exige aujourd'hui un vrai retour sur investissement, matérialisé par les certifications. Mais ces certifications ne disent rien de ce qui se passe vraiment quand mon étudiant arrive à Shanghai ou à Mumbai. »</w:t>
      </w:r>
      <w:r>
        <w:br/>
        <w:t xml:space="preserve"/>
      </w:r>
      <w:r>
        <w:rPr>
          <w:rFonts w:ascii="Calibri" w:cs="Calibri" w:eastAsia="Calibri" w:hAnsi="Calibri"/>
          <w:color w:val="6B7280"/>
          <w:sz w:val="20"/>
          <w:szCs w:val="20"/>
        </w:rPr>
        <w:t xml:space="preserve">— Tim White</w:t>
      </w:r>
    </w:p>
    <w:p>
      <w:pPr>
        <w:spacing w:after="120" w:before="0" w:line="300"/>
        <w:jc w:val="both"/>
      </w:pPr>
      <w:r>
        <w:rPr>
          <w:rFonts w:ascii="Calibri" w:cs="Calibri" w:eastAsia="Calibri" w:hAnsi="Calibri"/>
          <w:b w:val="false"/>
          <w:bCs w:val="false"/>
          <w:i w:val="false"/>
          <w:iCs w:val="false"/>
          <w:color w:val="1A1A1A"/>
          <w:sz w:val="22"/>
          <w:szCs w:val="22"/>
        </w:rPr>
        <w:t xml:space="preserve">Sur l'IA, Tim est nuancé. Il reconnaît l'apport des modèles modernes pour la pratique conversationnelle. Mais il signale deux dérives majeures : la triche des étudiants, qui injectent dans l'IA leurs devoirs maison ; et la perte du contexte, qui rend les outils incapables d'évaluer ce qui se passe vraiment dans une négociation.</w:t>
      </w:r>
    </w:p>
    <w:p>
      <w:pPr>
        <w:spacing w:after="120" w:before="0" w:line="300"/>
        <w:jc w:val="both"/>
      </w:pPr>
      <w:r>
        <w:rPr>
          <w:rFonts w:ascii="Calibri" w:cs="Calibri" w:eastAsia="Calibri" w:hAnsi="Calibri"/>
          <w:b w:val="false"/>
          <w:bCs w:val="false"/>
          <w:i w:val="false"/>
          <w:iCs w:val="false"/>
          <w:color w:val="1A1A1A"/>
          <w:sz w:val="22"/>
          <w:szCs w:val="22"/>
        </w:rPr>
        <w:t xml:space="preserve">Sur la culture, Tim est catégorique. Il cite plusieurs anecdotes vécues, dont l'incident ingénieur/engineer entre France Télécom et British Telecom, qui a failli faire échouer un projet inter-opérateurs de plusieurs millions d'euros. Pour lui, traduire sans contexte culturel est une source récurrente de problèmes.</w:t>
      </w:r>
    </w:p>
    <w:p>
      <w:pPr>
        <w:spacing w:after="120" w:before="0" w:line="300"/>
        <w:jc w:val="both"/>
      </w:pPr>
      <w:r>
        <w:rPr>
          <w:rFonts w:ascii="Calibri" w:cs="Calibri" w:eastAsia="Calibri" w:hAnsi="Calibri"/>
          <w:b w:val="false"/>
          <w:bCs w:val="false"/>
          <w:i w:val="false"/>
          <w:iCs w:val="false"/>
          <w:color w:val="1A1A1A"/>
          <w:sz w:val="22"/>
          <w:szCs w:val="22"/>
        </w:rPr>
        <w:t xml:space="preserve">Sa baguette magique idéale, telle qu'il la formule à la fin de l'entretien : un outil qui assure un suivi régulier, une vérification de l'acquisition des fondamentaux, et une traçabilité du niveau de progression. Mais cet outil, ajoute-t-il, doit s'intégrer à une approche hybride. Il ne faut pas opposer outil et terrain. C'est un ensemble.</w:t>
      </w:r>
    </w:p>
    <w:p>
      <w:pPr>
        <w:pStyle w:val="Heading2"/>
        <w:spacing w:after="180" w:before="360"/>
      </w:pPr>
      <w:r>
        <w:rPr>
          <w:rFonts w:ascii="Calibri" w:cs="Calibri" w:eastAsia="Calibri" w:hAnsi="Calibri"/>
          <w:b/>
          <w:bCs/>
          <w:color w:val="0F1A2E"/>
          <w:sz w:val="28"/>
          <w:szCs w:val="28"/>
        </w:rPr>
        <w:t xml:space="preserve">3.3 · Florent · dirigeant d'un cabinet de recrutement tech</w:t>
      </w:r>
    </w:p>
    <w:p>
      <w:pPr>
        <w:spacing w:after="120" w:before="0" w:line="300"/>
        <w:jc w:val="both"/>
      </w:pPr>
      <w:r>
        <w:rPr>
          <w:rFonts w:ascii="Calibri" w:cs="Calibri" w:eastAsia="Calibri" w:hAnsi="Calibri"/>
          <w:b w:val="false"/>
          <w:bCs w:val="false"/>
          <w:i w:val="false"/>
          <w:iCs w:val="false"/>
          <w:color w:val="1A1A1A"/>
          <w:sz w:val="22"/>
          <w:szCs w:val="22"/>
        </w:rPr>
        <w:t xml:space="preserve">Florent dirige un cabinet de recrutement spécialisé dans les profils tech, basé à Marseille. Son entreprise compte moins de dix personnes. Il intervient ponctuellement à l'international, dans le cadre de placements de cadres pour des scale-ups françaises ou étrangères.</w:t>
      </w:r>
    </w:p>
    <w:p>
      <w:pPr>
        <w:spacing w:after="120" w:before="0" w:line="300"/>
        <w:jc w:val="both"/>
      </w:pPr>
      <w:r>
        <w:rPr>
          <w:rFonts w:ascii="Calibri" w:cs="Calibri" w:eastAsia="Calibri" w:hAnsi="Calibri"/>
          <w:b w:val="false"/>
          <w:bCs w:val="false"/>
          <w:i w:val="false"/>
          <w:iCs w:val="false"/>
          <w:color w:val="1A1A1A"/>
          <w:sz w:val="22"/>
          <w:szCs w:val="22"/>
        </w:rPr>
        <w:t xml:space="preserve">Le profil de Florent est révélateur d'un angle mort fréquent chez les dirigeants de PME et de TPE. À la question directe : « Vos équipes ont-elles besoin d'anglais ? », il répond non. Pas vraiment. Mais à la question : « Avez-vous perdu des opportunités commerciales pour des raisons de langue ? », il répond : oui, plusieurs fois.</w:t>
      </w:r>
    </w:p>
    <w:p>
      <w:pPr>
        <w:pBdr>
          <w:left w:val="single" w:color="B8794B" w:sz="24" w:space="12"/>
        </w:pBdr>
        <w:spacing w:after="240" w:before="240"/>
        <w:ind w:left="360" w:right="360"/>
        <w:jc w:val="left"/>
      </w:pPr>
      <w:r>
        <w:rPr>
          <w:rFonts w:ascii="Calibri" w:cs="Calibri" w:eastAsia="Calibri" w:hAnsi="Calibri"/>
          <w:i/>
          <w:iCs/>
          <w:color w:val="0F1A2E"/>
          <w:sz w:val="24"/>
          <w:szCs w:val="24"/>
        </w:rPr>
        <w:t xml:space="preserve">« Le frein langue, je le mets à cinq sur dix dans mon développement international. Mais quand je regarde concrètement, il m'a déjà coûté plusieurs deals. »</w:t>
      </w:r>
      <w:r>
        <w:br/>
        <w:t xml:space="preserve"/>
      </w:r>
      <w:r>
        <w:rPr>
          <w:rFonts w:ascii="Calibri" w:cs="Calibri" w:eastAsia="Calibri" w:hAnsi="Calibri"/>
          <w:color w:val="6B7280"/>
          <w:sz w:val="20"/>
          <w:szCs w:val="20"/>
        </w:rPr>
        <w:t xml:space="preserve">— Florent · dirigeant d'un cabinet de recrutement tech</w:t>
      </w:r>
    </w:p>
    <w:p>
      <w:pPr>
        <w:spacing w:after="120" w:before="0" w:line="300"/>
        <w:jc w:val="both"/>
      </w:pPr>
      <w:r>
        <w:rPr>
          <w:rFonts w:ascii="Calibri" w:cs="Calibri" w:eastAsia="Calibri" w:hAnsi="Calibri"/>
          <w:b w:val="false"/>
          <w:bCs w:val="false"/>
          <w:i w:val="false"/>
          <w:iCs w:val="false"/>
          <w:color w:val="1A1A1A"/>
          <w:sz w:val="22"/>
          <w:szCs w:val="22"/>
        </w:rPr>
        <w:t xml:space="preserve">Cette contradiction est instructive. Elle suggère que la cécité culturelle commence avant même la formation : elle commence par l'incapacité du dirigeant à reconnaître que la langue est un sujet pour son entreprise.</w:t>
      </w:r>
    </w:p>
    <w:p>
      <w:pPr>
        <w:spacing w:after="120" w:before="0" w:line="300"/>
        <w:jc w:val="both"/>
      </w:pPr>
      <w:r>
        <w:rPr>
          <w:rFonts w:ascii="Calibri" w:cs="Calibri" w:eastAsia="Calibri" w:hAnsi="Calibri"/>
          <w:b w:val="false"/>
          <w:bCs w:val="false"/>
          <w:i w:val="false"/>
          <w:iCs w:val="false"/>
          <w:color w:val="1A1A1A"/>
          <w:sz w:val="22"/>
          <w:szCs w:val="22"/>
        </w:rPr>
        <w:t xml:space="preserve">Le vrai pain de Florent, exprimé à trois reprises au cours de l'entretien, n'est pas la langue. C'est le temps. Le temps de ses commerciaux, qui n'ont pas une heure à consacrer à une formation traditionnelle. Son mot final, livré spontanément : « intéressant, à voir si on a le temps ». Ce verbatim résume mieux que tout argument la difficulté du marché du segment PME.</w:t>
      </w:r>
    </w:p>
    <w:p>
      <w:pPr>
        <w:spacing w:after="120" w:before="0" w:line="300"/>
        <w:jc w:val="both"/>
      </w:pPr>
      <w:r>
        <w:rPr>
          <w:rFonts w:ascii="Calibri" w:cs="Calibri" w:eastAsia="Calibri" w:hAnsi="Calibri"/>
          <w:b w:val="false"/>
          <w:bCs w:val="false"/>
          <w:i w:val="false"/>
          <w:iCs w:val="false"/>
          <w:color w:val="1A1A1A"/>
          <w:sz w:val="22"/>
          <w:szCs w:val="22"/>
        </w:rPr>
        <w:t xml:space="preserve">Sa wishlist, exprimée à travers le questionnaire : scénarios métier adaptés à son secteur, feedback immédiat et personnalisé, autonomie totale sans contrainte d'horaire. Il ne coche ni la simulation orale, ni la gamification, comme leviers d'apprentissage souhaités. Ce dernier point est un signal que nous retrouverons chez d'autres profils.</w:t>
      </w:r>
    </w:p>
    <w:p>
      <w:pPr>
        <w:pStyle w:val="Heading2"/>
        <w:spacing w:after="180" w:before="360"/>
      </w:pPr>
      <w:r>
        <w:rPr>
          <w:rFonts w:ascii="Calibri" w:cs="Calibri" w:eastAsia="Calibri" w:hAnsi="Calibri"/>
          <w:b/>
          <w:bCs/>
          <w:color w:val="0F1A2E"/>
          <w:sz w:val="28"/>
          <w:szCs w:val="28"/>
        </w:rPr>
        <w:t xml:space="preserve">3.4 · Thomas · professeur d'anglais à KEDGE Business School</w:t>
      </w:r>
    </w:p>
    <w:p>
      <w:pPr>
        <w:spacing w:after="120" w:before="0" w:line="300"/>
        <w:jc w:val="both"/>
      </w:pPr>
      <w:r>
        <w:rPr>
          <w:rFonts w:ascii="Calibri" w:cs="Calibri" w:eastAsia="Calibri" w:hAnsi="Calibri"/>
          <w:b w:val="false"/>
          <w:bCs w:val="false"/>
          <w:i w:val="false"/>
          <w:iCs w:val="false"/>
          <w:color w:val="1A1A1A"/>
          <w:sz w:val="22"/>
          <w:szCs w:val="22"/>
        </w:rPr>
        <w:t xml:space="preserve">Thomas est professeur d'anglais — et d'allemand depuis longtemps — intervenant comme formateur indépendant à KEDGE Business School, à Marseille. Il combine cours en école et formations en entreprise. Il a la particularité, rare dans son segment, de revendiquer explicitement le rejet de l'IA dans sa pratique pédagogique.</w:t>
      </w:r>
    </w:p>
    <w:p>
      <w:pPr>
        <w:pBdr>
          <w:left w:val="single" w:color="B8794B" w:sz="24" w:space="12"/>
        </w:pBdr>
        <w:spacing w:after="240" w:before="240"/>
        <w:ind w:left="360" w:right="360"/>
        <w:jc w:val="left"/>
      </w:pPr>
      <w:r>
        <w:rPr>
          <w:rFonts w:ascii="Calibri" w:cs="Calibri" w:eastAsia="Calibri" w:hAnsi="Calibri"/>
          <w:i/>
          <w:iCs/>
          <w:color w:val="0F1A2E"/>
          <w:sz w:val="24"/>
          <w:szCs w:val="24"/>
        </w:rPr>
        <w:t xml:space="preserve">« Mon job, c'est allumer un feu chez l'élève. C'est comme transmettre la flamme — leur faire ressentir que c'est quelque chose de bon. »</w:t>
      </w:r>
      <w:r>
        <w:br/>
        <w:t xml:space="preserve"/>
      </w:r>
      <w:r>
        <w:rPr>
          <w:rFonts w:ascii="Calibri" w:cs="Calibri" w:eastAsia="Calibri" w:hAnsi="Calibri"/>
          <w:color w:val="6B7280"/>
          <w:sz w:val="20"/>
          <w:szCs w:val="20"/>
        </w:rPr>
        <w:t xml:space="preserve">— Thomas · professeur à KEDGE Business School</w:t>
      </w:r>
    </w:p>
    <w:p>
      <w:pPr>
        <w:spacing w:after="120" w:before="0" w:line="300"/>
        <w:jc w:val="both"/>
      </w:pPr>
      <w:r>
        <w:rPr>
          <w:rFonts w:ascii="Calibri" w:cs="Calibri" w:eastAsia="Calibri" w:hAnsi="Calibri"/>
          <w:b w:val="false"/>
          <w:bCs w:val="false"/>
          <w:i w:val="false"/>
          <w:iCs w:val="false"/>
          <w:color w:val="1A1A1A"/>
          <w:sz w:val="22"/>
          <w:szCs w:val="22"/>
        </w:rPr>
        <w:t xml:space="preserve">Sa thèse, formulée à plusieurs reprises au cours de l'entretien : rien ne remplace la relation humaine entre un professeur et un étudiant. Aucun outil, aucune IA, aucune application ne peut substituer à ce qu'il appelle, en référence à la philosophie antique, la transmission du feu.</w:t>
      </w:r>
    </w:p>
    <w:p>
      <w:pPr>
        <w:spacing w:after="120" w:before="0" w:line="300"/>
        <w:jc w:val="both"/>
      </w:pPr>
      <w:r>
        <w:rPr>
          <w:rFonts w:ascii="Calibri" w:cs="Calibri" w:eastAsia="Calibri" w:hAnsi="Calibri"/>
          <w:b w:val="false"/>
          <w:bCs w:val="false"/>
          <w:i w:val="false"/>
          <w:iCs w:val="false"/>
          <w:color w:val="1A1A1A"/>
          <w:sz w:val="22"/>
          <w:szCs w:val="22"/>
        </w:rPr>
        <w:t xml:space="preserve">Thomas a deux ennemis déclarés. Le premier est l'IA, qu'il refuse d'utiliser et qu'il accuse de ne pas faire progresser ses étudiants. Le second est la gamification, qu'il décrit comme un piège pédagogique. Selon lui, les étudiants la traitent comme un jeu, et non comme un apprentissage. C'est le deuxième de nos trois interlocuteurs à signaler la gamification comme un signal négatif. Et le troisième n'en parle pas spontanément. Sur trois entretiens, zéro adhésion explicite au gaming. Ce signal devient difficile à ignorer.</w:t>
      </w:r>
    </w:p>
    <w:p>
      <w:pPr>
        <w:spacing w:after="120" w:before="0" w:line="300"/>
        <w:jc w:val="both"/>
      </w:pPr>
      <w:r>
        <w:rPr>
          <w:rFonts w:ascii="Calibri" w:cs="Calibri" w:eastAsia="Calibri" w:hAnsi="Calibri"/>
          <w:b w:val="false"/>
          <w:bCs w:val="false"/>
          <w:i w:val="false"/>
          <w:iCs w:val="false"/>
          <w:color w:val="1A1A1A"/>
          <w:sz w:val="22"/>
          <w:szCs w:val="22"/>
        </w:rPr>
        <w:t xml:space="preserve">Sur la culture, Thomas confirme le diagnostic des deux autres profils. Il raconte sa propre expérience : quand il est allé enseigner en Espagne, il a dû d'abord apprendre l'espagnol pour pouvoir communiquer avec ses collègues. Comprendre la culture de l'élève, dit-il, est essentiel pour lui enseigner la culture cible.</w:t>
      </w:r>
    </w:p>
    <w:p>
      <w:pPr>
        <w:spacing w:after="120" w:before="0" w:line="300"/>
        <w:jc w:val="both"/>
      </w:pPr>
      <w:r>
        <w:rPr>
          <w:rFonts w:ascii="Calibri" w:cs="Calibri" w:eastAsia="Calibri" w:hAnsi="Calibri"/>
          <w:b w:val="false"/>
          <w:bCs w:val="false"/>
          <w:i w:val="false"/>
          <w:iCs w:val="false"/>
          <w:color w:val="1A1A1A"/>
          <w:sz w:val="22"/>
          <w:szCs w:val="22"/>
        </w:rPr>
        <w:t xml:space="preserve">Sa wishlist : pouvoir disposer d'une preuve tangible de progrès. Pouvoir dire à un élève : « regarde où tu étais il y a trois mois ». La courbe d'apprentissage des langues est rude, et cette rétrovision est un puissant levier de motivation.</w:t>
      </w:r>
    </w:p>
    <w:p>
      <w:pPr>
        <w:pStyle w:val="Heading2"/>
        <w:spacing w:after="180" w:before="360"/>
      </w:pPr>
      <w:r>
        <w:rPr>
          <w:rFonts w:ascii="Calibri" w:cs="Calibri" w:eastAsia="Calibri" w:hAnsi="Calibri"/>
          <w:b/>
          <w:bCs/>
          <w:color w:val="0F1A2E"/>
          <w:sz w:val="28"/>
          <w:szCs w:val="28"/>
        </w:rPr>
        <w:t xml:space="preserve">3.5 · Convergences et signaux d'alarme</w:t>
      </w:r>
    </w:p>
    <w:p>
      <w:pPr>
        <w:spacing w:after="120" w:before="0" w:line="300"/>
        <w:jc w:val="both"/>
      </w:pPr>
      <w:r>
        <w:rPr>
          <w:rFonts w:ascii="Calibri" w:cs="Calibri" w:eastAsia="Calibri" w:hAnsi="Calibri"/>
          <w:b w:val="false"/>
          <w:bCs w:val="false"/>
          <w:i w:val="false"/>
          <w:iCs w:val="false"/>
          <w:color w:val="1A1A1A"/>
          <w:sz w:val="22"/>
          <w:szCs w:val="22"/>
        </w:rPr>
        <w:t xml:space="preserve">La synthèse des trois entretiens fait émerger quatre convergences fortes et deux signaux d'alarme.</w:t>
      </w:r>
    </w:p>
    <w:p>
      <w:pPr>
        <w:pStyle w:val="Heading3"/>
        <w:spacing w:after="120" w:before="240"/>
      </w:pPr>
      <w:r>
        <w:rPr>
          <w:rFonts w:ascii="Calibri" w:cs="Calibri" w:eastAsia="Calibri" w:hAnsi="Calibri"/>
          <w:b/>
          <w:bCs/>
          <w:color w:val="2A3A55"/>
          <w:sz w:val="24"/>
          <w:szCs w:val="24"/>
        </w:rPr>
        <w:t xml:space="preserve">Les quatre convergences</w:t>
      </w:r>
    </w:p>
    <w:p>
      <w:pPr>
        <w:pStyle w:val="ListParagraph"/>
        <w:numPr>
          <w:ilvl w:val="0"/>
          <w:numId w:val="3"/>
        </w:numPr>
        <w:spacing w:after="120" w:line="300"/>
      </w:pPr>
      <w:r>
        <w:rPr>
          <w:rFonts w:ascii="Calibri" w:cs="Calibri" w:eastAsia="Calibri" w:hAnsi="Calibri"/>
          <w:color w:val="1A1A1A"/>
          <w:sz w:val="22"/>
          <w:szCs w:val="22"/>
        </w:rPr>
        <w:t xml:space="preserve">Les codes culturels sont centraux dans la formation linguistique professionnelle. Les trois interlocuteurs y reviennent spontanément, chacun à partir d'une anecdote vécue.</w:t>
      </w:r>
    </w:p>
    <w:p>
      <w:pPr>
        <w:pStyle w:val="ListParagraph"/>
        <w:numPr>
          <w:ilvl w:val="0"/>
          <w:numId w:val="3"/>
        </w:numPr>
        <w:spacing w:after="120" w:line="300"/>
      </w:pPr>
      <w:r>
        <w:rPr>
          <w:rFonts w:ascii="Calibri" w:cs="Calibri" w:eastAsia="Calibri" w:hAnsi="Calibri"/>
          <w:color w:val="1A1A1A"/>
          <w:sz w:val="22"/>
          <w:szCs w:val="22"/>
        </w:rPr>
        <w:t xml:space="preserve">La preuve tangible de progression est demandée par tous. Pas un sentiment. Pas un score auto-déclaré. Une mesure chiffrée, opposable, mémorisable dans le temps.</w:t>
      </w:r>
    </w:p>
    <w:p>
      <w:pPr>
        <w:pStyle w:val="ListParagraph"/>
        <w:numPr>
          <w:ilvl w:val="0"/>
          <w:numId w:val="3"/>
        </w:numPr>
        <w:spacing w:after="120" w:line="300"/>
      </w:pPr>
      <w:r>
        <w:rPr>
          <w:rFonts w:ascii="Calibri" w:cs="Calibri" w:eastAsia="Calibri" w:hAnsi="Calibri"/>
          <w:color w:val="1A1A1A"/>
          <w:sz w:val="22"/>
          <w:szCs w:val="22"/>
        </w:rPr>
        <w:t xml:space="preserve">Le speaking — la pratique orale — est sous-servi dans les dispositifs actuels. Deux des trois interlocuteurs l'érigent en priorité absolue. Les classes sont trop grandes, les occasions de parler trop rares.</w:t>
      </w:r>
    </w:p>
    <w:p>
      <w:pPr>
        <w:pStyle w:val="ListParagraph"/>
        <w:numPr>
          <w:ilvl w:val="0"/>
          <w:numId w:val="3"/>
        </w:numPr>
        <w:spacing w:after="120" w:line="300"/>
      </w:pPr>
      <w:r>
        <w:rPr>
          <w:rFonts w:ascii="Calibri" w:cs="Calibri" w:eastAsia="Calibri" w:hAnsi="Calibri"/>
          <w:color w:val="1A1A1A"/>
          <w:sz w:val="22"/>
          <w:szCs w:val="22"/>
        </w:rPr>
        <w:t xml:space="preserve">La personnalisation des scénarios métier l'emporte sur le contenu généraliste. Les apprenants veulent pratiquer dans des situations qui ressemblent à leur quotidien professionnel.</w:t>
      </w:r>
    </w:p>
    <w:p>
      <w:pPr>
        <w:pStyle w:val="Heading3"/>
        <w:spacing w:after="120" w:before="240"/>
      </w:pPr>
      <w:r>
        <w:rPr>
          <w:rFonts w:ascii="Calibri" w:cs="Calibri" w:eastAsia="Calibri" w:hAnsi="Calibri"/>
          <w:b/>
          <w:bCs/>
          <w:color w:val="2A3A55"/>
          <w:sz w:val="24"/>
          <w:szCs w:val="24"/>
        </w:rPr>
        <w:t xml:space="preserve">Les deux signaux d'alarme</w:t>
      </w:r>
    </w:p>
    <w:p>
      <w:pPr>
        <w:pStyle w:val="ListParagraph"/>
        <w:numPr>
          <w:ilvl w:val="0"/>
          <w:numId w:val="3"/>
        </w:numPr>
        <w:spacing w:after="120" w:line="300"/>
      </w:pPr>
      <w:r>
        <w:rPr>
          <w:rFonts w:ascii="Calibri" w:cs="Calibri" w:eastAsia="Calibri" w:hAnsi="Calibri"/>
          <w:color w:val="1A1A1A"/>
          <w:sz w:val="22"/>
          <w:szCs w:val="22"/>
        </w:rPr>
        <w:t xml:space="preserve">La gamification ne convainc personne. Sur les trois interlocuteurs, aucun ne la valorise. Un la rejette explicitement comme un piège pédagogique. Un ne la coche pas dans les leviers souhaités. Un n'en parle pas spontanément. Le signal est trop fort pour être ignoré.</w:t>
      </w:r>
    </w:p>
    <w:p>
      <w:pPr>
        <w:pStyle w:val="ListParagraph"/>
        <w:numPr>
          <w:ilvl w:val="0"/>
          <w:numId w:val="3"/>
        </w:numPr>
        <w:spacing w:after="120" w:line="300"/>
      </w:pPr>
      <w:r>
        <w:rPr>
          <w:rFonts w:ascii="Calibri" w:cs="Calibri" w:eastAsia="Calibri" w:hAnsi="Calibri"/>
          <w:color w:val="1A1A1A"/>
          <w:sz w:val="22"/>
          <w:szCs w:val="22"/>
        </w:rPr>
        <w:t xml:space="preserve">L'IA seule, sans encadrement humain, est challengée. Deux des trois interlocuteurs en font une critique frontale. Le troisième l'accepte uniquement si elle fait gagner du temps à ses commerciaux.</w:t>
      </w:r>
    </w:p>
    <w:p>
      <w:pPr>
        <w:pBdr>
          <w:top w:val="single" w:color="B8794B" w:sz="6"/>
          <w:bottom w:val="single" w:color="B8794B" w:sz="6"/>
          <w:left w:val="single" w:color="B8794B" w:sz="6"/>
          <w:right w:val="single" w:color="B8794B" w:sz="6"/>
        </w:pBdr>
        <w:shd w:fill="FDF6E3" w:val="clear"/>
        <w:spacing w:after="240" w:before="240"/>
        <w:ind w:left="240" w:right="240"/>
      </w:pPr>
      <w:r>
        <w:rPr>
          <w:rFonts w:ascii="Calibri" w:cs="Calibri" w:eastAsia="Calibri" w:hAnsi="Calibri"/>
          <w:b/>
          <w:bCs/>
          <w:color w:val="B8794B"/>
          <w:sz w:val="22"/>
          <w:szCs w:val="22"/>
        </w:rPr>
        <w:t xml:space="preserve">★ L'enseignement principal pour Questia</w:t>
      </w:r>
      <w:r>
        <w:br/>
        <w:t xml:space="preserve"/>
      </w:r>
      <w:r>
        <w:rPr>
          <w:rFonts w:ascii="Calibri" w:cs="Calibri" w:eastAsia="Calibri" w:hAnsi="Calibri"/>
          <w:color w:val="1A1A1A"/>
          <w:sz w:val="22"/>
          <w:szCs w:val="22"/>
        </w:rPr>
        <w:t xml:space="preserve">Le marché attend une solution hybride. Pas une plateforme de pure IA. Pas une école traditionnelle. Mais un outil qui combine la rigueur pédagogique, la mesure chiffrée, la pratique orale, la personnalisation métier — et qui respecte la place irréductible de l'encadrant humain dans le dispositif.</w:t>
      </w:r>
    </w:p>
    <w:p>
      <w:r>
        <w:br w:type="page"/>
      </w:r>
    </w:p>
    <w:p>
      <w:pPr>
        <w:spacing w:after="80" w:before="480"/>
      </w:pPr>
      <w:r>
        <w:rPr>
          <w:rFonts w:ascii="Calibri" w:cs="Calibri" w:eastAsia="Calibri" w:hAnsi="Calibri"/>
          <w:b/>
          <w:bCs/>
          <w:color w:val="B8794B"/>
          <w:sz w:val="18"/>
          <w:szCs w:val="18"/>
        </w:rPr>
        <w:t xml:space="preserve">CHAPITRE 4</w:t>
      </w:r>
    </w:p>
    <w:p>
      <w:pPr>
        <w:pStyle w:val="Heading1"/>
        <w:spacing w:after="360" w:before="0"/>
      </w:pPr>
      <w:r>
        <w:rPr>
          <w:rFonts w:ascii="Calibri" w:cs="Calibri" w:eastAsia="Calibri" w:hAnsi="Calibri"/>
          <w:b/>
          <w:bCs/>
          <w:color w:val="0F1A2E"/>
          <w:sz w:val="40"/>
          <w:szCs w:val="40"/>
        </w:rPr>
        <w:t xml:space="preserve">La méthode Cultural Readiness Score</w:t>
      </w:r>
    </w:p>
    <w:p>
      <w:pPr>
        <w:spacing w:after="120" w:before="0" w:line="300"/>
        <w:jc w:val="both"/>
      </w:pPr>
      <w:r>
        <w:rPr>
          <w:rFonts w:ascii="Calibri" w:cs="Calibri" w:eastAsia="Calibri" w:hAnsi="Calibri"/>
          <w:b w:val="false"/>
          <w:bCs w:val="false"/>
          <w:i w:val="false"/>
          <w:iCs w:val="false"/>
          <w:color w:val="1A1A1A"/>
          <w:sz w:val="22"/>
          <w:szCs w:val="22"/>
        </w:rPr>
        <w:t xml:space="preserve">Nous proposons dans ce chapitre une méthode pour mesurer la compétence interculturelle d'un professionnel, que nous appelons le Cultural Readiness Score, ou CRS. Cette méthode est, à notre connaissance, la première tentative de chiffrer cette dimension de façon standardisée et opposable. Elle est conçue pour être suffisamment rigoureuse pour être présentée en comité de direction, et suffisamment simple pour être comprise par un cadre opérationnel.</w:t>
      </w:r>
    </w:p>
    <w:p>
      <w:pPr>
        <w:spacing w:after="120" w:before="0" w:line="300"/>
        <w:jc w:val="both"/>
      </w:pPr>
      <w:r>
        <w:rPr>
          <w:rFonts w:ascii="Calibri" w:cs="Calibri" w:eastAsia="Calibri" w:hAnsi="Calibri"/>
          <w:b w:val="false"/>
          <w:bCs w:val="false"/>
          <w:i w:val="false"/>
          <w:iCs w:val="false"/>
          <w:color w:val="1A1A1A"/>
          <w:sz w:val="22"/>
          <w:szCs w:val="22"/>
        </w:rPr>
        <w:t xml:space="preserve">Avant de présenter le calcul, nous expliquons les fondements théoriques de la méthode, puis nous illustrons son application sur un cas concret.</w:t>
      </w:r>
    </w:p>
    <w:p>
      <w:pPr>
        <w:pStyle w:val="Heading2"/>
        <w:spacing w:after="180" w:before="360"/>
      </w:pPr>
      <w:r>
        <w:rPr>
          <w:rFonts w:ascii="Calibri" w:cs="Calibri" w:eastAsia="Calibri" w:hAnsi="Calibri"/>
          <w:b/>
          <w:bCs/>
          <w:color w:val="0F1A2E"/>
          <w:sz w:val="28"/>
          <w:szCs w:val="28"/>
        </w:rPr>
        <w:t xml:space="preserve">4.1 · Pourquoi un score chiffré ?</w:t>
      </w:r>
    </w:p>
    <w:p>
      <w:pPr>
        <w:spacing w:after="120" w:before="0" w:line="300"/>
        <w:jc w:val="both"/>
      </w:pPr>
      <w:r>
        <w:rPr>
          <w:rFonts w:ascii="Calibri" w:cs="Calibri" w:eastAsia="Calibri" w:hAnsi="Calibri"/>
          <w:b w:val="false"/>
          <w:bCs w:val="false"/>
          <w:i w:val="false"/>
          <w:iCs w:val="false"/>
          <w:color w:val="1A1A1A"/>
          <w:sz w:val="22"/>
          <w:szCs w:val="22"/>
        </w:rPr>
        <w:t xml:space="preserve">La culture est souvent perçue comme une dimension qualitative, insaisissable, irréductible à un chiffre. Cette perception est légitime — toute tentative de quantification appauvrit, par construction, la richesse du réel.</w:t>
      </w:r>
    </w:p>
    <w:p>
      <w:pPr>
        <w:spacing w:after="120" w:before="0" w:line="300"/>
        <w:jc w:val="both"/>
      </w:pPr>
      <w:r>
        <w:rPr>
          <w:rFonts w:ascii="Calibri" w:cs="Calibri" w:eastAsia="Calibri" w:hAnsi="Calibri"/>
          <w:b w:val="false"/>
          <w:bCs w:val="false"/>
          <w:i w:val="false"/>
          <w:iCs w:val="false"/>
          <w:color w:val="1A1A1A"/>
          <w:sz w:val="22"/>
          <w:szCs w:val="22"/>
        </w:rPr>
        <w:t xml:space="preserve">Pourtant, dans la pratique des entreprises, l'absence de mesure aboutit à une situation paradoxale : ce qui ne se mesure pas ne se défend pas. Les directions financières taillent dans les budgets qui ne produisent pas d'indicateur. Les comités de direction valident les investissements qui produisent un retour chiffré. La compétence interculturelle, parce qu'elle n'est pas mesurée, est structurellement vulnérable au prochain plan d'économies.</w:t>
      </w:r>
    </w:p>
    <w:p>
      <w:pPr>
        <w:spacing w:after="120" w:before="0" w:line="300"/>
        <w:jc w:val="both"/>
      </w:pPr>
      <w:r>
        <w:rPr>
          <w:rFonts w:ascii="Calibri" w:cs="Calibri" w:eastAsia="Calibri" w:hAnsi="Calibri"/>
          <w:b w:val="false"/>
          <w:bCs w:val="false"/>
          <w:i w:val="false"/>
          <w:iCs w:val="false"/>
          <w:color w:val="1A1A1A"/>
          <w:sz w:val="22"/>
          <w:szCs w:val="22"/>
        </w:rPr>
        <w:t xml:space="preserve">Notre conviction est qu'il vaut mieux une mesure imparfaite que pas de mesure du tout. À condition d'être transparent sur les limites de la mesure, sur la méthodologie, et sur ce qu'elle ne capture pas. C'est ce que nous proposons ici.</w:t>
      </w:r>
    </w:p>
    <w:p>
      <w:pPr>
        <w:pStyle w:val="Heading2"/>
        <w:spacing w:after="180" w:before="360"/>
      </w:pPr>
      <w:r>
        <w:rPr>
          <w:rFonts w:ascii="Calibri" w:cs="Calibri" w:eastAsia="Calibri" w:hAnsi="Calibri"/>
          <w:b/>
          <w:bCs/>
          <w:color w:val="0F1A2E"/>
          <w:sz w:val="28"/>
          <w:szCs w:val="28"/>
        </w:rPr>
        <w:t xml:space="preserve">4.2 · Les fondements théoriques</w:t>
      </w:r>
    </w:p>
    <w:p>
      <w:pPr>
        <w:spacing w:after="120" w:before="0" w:line="300"/>
        <w:jc w:val="both"/>
      </w:pPr>
      <w:r>
        <w:rPr>
          <w:rFonts w:ascii="Calibri" w:cs="Calibri" w:eastAsia="Calibri" w:hAnsi="Calibri"/>
          <w:b w:val="false"/>
          <w:bCs w:val="false"/>
          <w:i w:val="false"/>
          <w:iCs w:val="false"/>
          <w:color w:val="1A1A1A"/>
          <w:sz w:val="22"/>
          <w:szCs w:val="22"/>
        </w:rPr>
        <w:t xml:space="preserve">La méthode Cultural Readiness Score s'appuie sur trois cadres théoriques reconnus.</w:t>
      </w:r>
    </w:p>
    <w:p>
      <w:pPr>
        <w:spacing w:after="120" w:before="0" w:line="300"/>
        <w:jc w:val="both"/>
      </w:pPr>
      <w:r>
        <w:rPr>
          <w:rFonts w:ascii="Calibri" w:cs="Calibri" w:eastAsia="Calibri" w:hAnsi="Calibri"/>
          <w:b w:val="false"/>
          <w:bCs w:val="false"/>
          <w:i w:val="false"/>
          <w:iCs w:val="false"/>
          <w:color w:val="1A1A1A"/>
          <w:sz w:val="22"/>
          <w:szCs w:val="22"/>
        </w:rPr>
        <w:t xml:space="preserve">Le premier est la Culture Map d'Erin Meyer, professeure à l'INSEAD. Dans son ouvrage de référence publié en 2014, Meyer identifie huit dimensions culturelles structurantes de la communication d'affaires, et place chaque pays sur un spectre pour chacune de ces dimensions. Le cadre est aujourd'hui enseigné dans les principales écoles de management mondiales et utilisé par les grands cabinets de conseil.</w:t>
      </w:r>
    </w:p>
    <w:p>
      <w:pPr>
        <w:spacing w:after="120" w:before="0" w:line="300"/>
        <w:jc w:val="both"/>
      </w:pPr>
      <w:r>
        <w:rPr>
          <w:rFonts w:ascii="Calibri" w:cs="Calibri" w:eastAsia="Calibri" w:hAnsi="Calibri"/>
          <w:b w:val="false"/>
          <w:bCs w:val="false"/>
          <w:i w:val="false"/>
          <w:iCs w:val="false"/>
          <w:color w:val="1A1A1A"/>
          <w:sz w:val="22"/>
          <w:szCs w:val="22"/>
        </w:rPr>
        <w:t xml:space="preserve">Le second est le Cadre européen commun de référence pour les langues, ou CECRL, qui structure depuis 2001 l'évaluation des compétences linguistiques en Europe. Il classe les apprenants sur six niveaux — A1, A2, B1, B2, C1, C2 — sur quatre compétences distinctes.</w:t>
      </w:r>
    </w:p>
    <w:p>
      <w:pPr>
        <w:spacing w:after="120" w:before="0" w:line="300"/>
        <w:jc w:val="both"/>
      </w:pPr>
      <w:r>
        <w:rPr>
          <w:rFonts w:ascii="Calibri" w:cs="Calibri" w:eastAsia="Calibri" w:hAnsi="Calibri"/>
          <w:b w:val="false"/>
          <w:bCs w:val="false"/>
          <w:i w:val="false"/>
          <w:iCs w:val="false"/>
          <w:color w:val="1A1A1A"/>
          <w:sz w:val="22"/>
          <w:szCs w:val="22"/>
        </w:rPr>
        <w:t xml:space="preserve">Le troisième est l'évaluation par la performance, qui consiste à observer un apprenant dans des situations réelles ou simulées proches de son contexte professionnel. Cette approche, dite assessment by performance, est utilisée dans les certifications en langues professionnelles depuis les années 1980.</w:t>
      </w:r>
    </w:p>
    <w:p>
      <w:pPr>
        <w:pStyle w:val="Heading2"/>
        <w:spacing w:after="180" w:before="360"/>
      </w:pPr>
      <w:r>
        <w:rPr>
          <w:rFonts w:ascii="Calibri" w:cs="Calibri" w:eastAsia="Calibri" w:hAnsi="Calibri"/>
          <w:b/>
          <w:bCs/>
          <w:color w:val="0F1A2E"/>
          <w:sz w:val="28"/>
          <w:szCs w:val="28"/>
        </w:rPr>
        <w:t xml:space="preserve">4.3 · Les huit dimensions culturelles</w:t>
      </w:r>
    </w:p>
    <w:p>
      <w:pPr>
        <w:spacing w:after="120" w:before="0" w:line="300"/>
        <w:jc w:val="both"/>
      </w:pPr>
      <w:r>
        <w:rPr>
          <w:rFonts w:ascii="Calibri" w:cs="Calibri" w:eastAsia="Calibri" w:hAnsi="Calibri"/>
          <w:b w:val="false"/>
          <w:bCs w:val="false"/>
          <w:i w:val="false"/>
          <w:iCs w:val="false"/>
          <w:color w:val="1A1A1A"/>
          <w:sz w:val="22"/>
          <w:szCs w:val="22"/>
        </w:rPr>
        <w:t xml:space="preserve">La Culture Map identifie huit dimensions le long desquelles les cultures professionnelles se distinguent. Pour chaque dimension, un pays se situe sur un spectre entre deux pôles.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Dimension</w:t>
            </w:r>
          </w:p>
        </w:tc>
        <w:tc>
          <w:tcPr>
            <w:tcW w:type="dxa" w:w="312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Pôle A</w:t>
            </w:r>
          </w:p>
        </w:tc>
        <w:tc>
          <w:tcPr>
            <w:tcW w:type="dxa" w:w="312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Pôle B</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Communiquer</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Bas contexte (US, Pays-Bas, Allemagne)</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Haut contexte (Japon, Chine, Corée)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Évaluer une idée</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Critique directe (Allemagne, France, Israël)</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Critique indirecte (Japon, UK, Inde)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Convaincre</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Principes d'abord (France, Italie, Russie)</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Application d'abord (US, UK, Australie)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Diriger</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Égalitaire (Danemark, Suède, Pays-Bas)</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Hiérarchique (Chine, Russie, Nigéria)</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Décider</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Consensus (Japon, Allemagne, Pays-Bas)</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Top-down (US, Chine, Inde)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Faire confiance</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Par la tâche (US, Allemagne, Royaume-Uni)</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Par la relation (Brésil, Nigéria, Chine)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Gérer le désaccord</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Confrontation (France, Israël, Russie)</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Évitement (Japon, Indonésie, Thaïlande)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Penser le temps</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Linéaire (Allemagne, Suisse, Japon)</w:t>
            </w:r>
          </w:p>
        </w:tc>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Flexible (Brésil, Nigéria, Inde)</w:t>
            </w:r>
          </w:p>
        </w:tc>
      </w:tr>
    </w:tbl>
    <w:p>
      <w:pPr>
        <w:spacing w:after="240"/>
      </w:pPr>
    </w:p>
    <w:p>
      <w:pPr>
        <w:spacing w:after="120" w:before="0" w:line="300"/>
        <w:jc w:val="both"/>
      </w:pPr>
      <w:r>
        <w:rPr>
          <w:rFonts w:ascii="Calibri" w:cs="Calibri" w:eastAsia="Calibri" w:hAnsi="Calibri"/>
          <w:b w:val="false"/>
          <w:bCs w:val="false"/>
          <w:i w:val="false"/>
          <w:iCs w:val="false"/>
          <w:color w:val="1A1A1A"/>
          <w:sz w:val="22"/>
          <w:szCs w:val="22"/>
        </w:rPr>
        <w:t xml:space="preserve">Chaque marché ciblé — Hong Kong, Lagos, New York, São Paulo, Berlin, Tokyo — peut être positionné sur ces huit dimensions par un vecteur de huit valeurs. Pour chaque dimension, l'apprenant est également positionné — à partir de l'observation de ses productions par l'intelligence artificielle. L'écart entre les deux profils mesure son niveau de compétence interculturelle pour ce marché spécifique.</w:t>
      </w:r>
    </w:p>
    <w:p>
      <w:pPr>
        <w:pStyle w:val="Heading2"/>
        <w:spacing w:after="180" w:before="360"/>
      </w:pPr>
      <w:r>
        <w:rPr>
          <w:rFonts w:ascii="Calibri" w:cs="Calibri" w:eastAsia="Calibri" w:hAnsi="Calibri"/>
          <w:b/>
          <w:bCs/>
          <w:color w:val="0F1A2E"/>
          <w:sz w:val="28"/>
          <w:szCs w:val="28"/>
        </w:rPr>
        <w:t xml:space="preserve">4.4 · Le calcul du score</w:t>
      </w:r>
    </w:p>
    <w:p>
      <w:pPr>
        <w:spacing w:after="120" w:before="0" w:line="300"/>
        <w:jc w:val="both"/>
      </w:pPr>
      <w:r>
        <w:rPr>
          <w:rFonts w:ascii="Calibri" w:cs="Calibri" w:eastAsia="Calibri" w:hAnsi="Calibri"/>
          <w:b w:val="false"/>
          <w:bCs w:val="false"/>
          <w:i w:val="false"/>
          <w:iCs w:val="false"/>
          <w:color w:val="1A1A1A"/>
          <w:sz w:val="22"/>
          <w:szCs w:val="22"/>
        </w:rPr>
        <w:t xml:space="preserve">Le Cultural Readiness Score est un score composite sur cent. Il agrège trois composantes pondérées.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Composante</w:t>
            </w:r>
          </w:p>
        </w:tc>
        <w:tc>
          <w:tcPr>
            <w:tcW w:type="dxa" w:w="15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center"/>
            </w:pPr>
            <w:r>
              <w:rPr>
                <w:rFonts w:ascii="Calibri" w:cs="Calibri" w:eastAsia="Calibri" w:hAnsi="Calibri"/>
                <w:b/>
                <w:bCs/>
                <w:color w:val="FFFFFF"/>
                <w:sz w:val="20"/>
                <w:szCs w:val="20"/>
              </w:rPr>
              <w:t xml:space="preserve">Poids</w:t>
            </w:r>
          </w:p>
        </w:tc>
        <w:tc>
          <w:tcPr>
            <w:tcW w:type="dxa" w:w="468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Mesure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Langue</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30 %</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Niveau CECRL adapté au contexte métier (A1=0, C2=100)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B8794B"/>
                <w:sz w:val="20"/>
                <w:szCs w:val="20"/>
              </w:rPr>
              <w:t xml:space="preserve">Codes culturels</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B8794B"/>
                <w:sz w:val="20"/>
                <w:szCs w:val="20"/>
              </w:rPr>
              <w:t xml:space="preserve">40 %</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Écart entre comportement observé et profil cible du marché</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Performance</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30 %</w:t>
            </w:r>
          </w:p>
        </w:tc>
        <w:tc>
          <w:tcPr>
            <w:tcW w:type="dxa" w:w="468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Note de l'apprenant sur des scénarios métier réels</w:t>
            </w:r>
          </w:p>
        </w:tc>
      </w:tr>
    </w:tbl>
    <w:p>
      <w:pPr>
        <w:spacing w:after="240"/>
      </w:pPr>
    </w:p>
    <w:p>
      <w:pPr>
        <w:spacing w:after="120" w:before="0" w:line="300"/>
        <w:jc w:val="both"/>
      </w:pPr>
      <w:r>
        <w:rPr>
          <w:rFonts w:ascii="Calibri" w:cs="Calibri" w:eastAsia="Calibri" w:hAnsi="Calibri"/>
          <w:b w:val="false"/>
          <w:bCs w:val="false"/>
          <w:i w:val="false"/>
          <w:iCs w:val="false"/>
          <w:color w:val="1A1A1A"/>
          <w:sz w:val="22"/>
          <w:szCs w:val="22"/>
        </w:rPr>
        <w:t xml:space="preserve">Le poids de quarante pour cent attribué aux codes culturels est volontairement supérieur aux deux autres composantes. C'est ce qui différencie le Cultural Readiness Score d'un simple score CECRL : nous reconnaissons que la culture pèse plus que la langue dans la réussite professionnelle internationale.</w:t>
      </w:r>
    </w:p>
    <w:p>
      <w:pPr>
        <w:pStyle w:val="Heading2"/>
        <w:spacing w:after="180" w:before="360"/>
      </w:pPr>
      <w:r>
        <w:rPr>
          <w:rFonts w:ascii="Calibri" w:cs="Calibri" w:eastAsia="Calibri" w:hAnsi="Calibri"/>
          <w:b/>
          <w:bCs/>
          <w:color w:val="0F1A2E"/>
          <w:sz w:val="28"/>
          <w:szCs w:val="28"/>
        </w:rPr>
        <w:t xml:space="preserve">4.5 · Un exemple concret</w:t>
      </w:r>
    </w:p>
    <w:p>
      <w:pPr>
        <w:spacing w:after="120" w:before="0" w:line="300"/>
        <w:jc w:val="both"/>
      </w:pPr>
      <w:r>
        <w:rPr>
          <w:rFonts w:ascii="Calibri" w:cs="Calibri" w:eastAsia="Calibri" w:hAnsi="Calibri"/>
          <w:b w:val="false"/>
          <w:bCs w:val="false"/>
          <w:i w:val="false"/>
          <w:iCs w:val="false"/>
          <w:color w:val="1A1A1A"/>
          <w:sz w:val="22"/>
          <w:szCs w:val="22"/>
        </w:rPr>
        <w:t xml:space="preserve">Imaginons un VP commercial français de quarante-deux ans, anglophone, devant préparer un déplacement à Hong Kong dans les six semaines. Ses productions écrites et orales sont analysées par l'IA dans une série de scénarios simulés : un email de cadrage à un partenaire local, une présentation client, une négociation tarifaire.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Dimension HK</w:t>
            </w:r>
          </w:p>
        </w:tc>
        <w:tc>
          <w:tcPr>
            <w:tcW w:type="dxa" w:w="15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center"/>
            </w:pPr>
            <w:r>
              <w:rPr>
                <w:rFonts w:ascii="Calibri" w:cs="Calibri" w:eastAsia="Calibri" w:hAnsi="Calibri"/>
                <w:b/>
                <w:bCs/>
                <w:color w:val="FFFFFF"/>
                <w:sz w:val="20"/>
                <w:szCs w:val="20"/>
              </w:rPr>
              <w:t xml:space="preserve">Cible HK</w:t>
            </w:r>
          </w:p>
        </w:tc>
        <w:tc>
          <w:tcPr>
            <w:tcW w:type="dxa" w:w="15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center"/>
            </w:pPr>
            <w:r>
              <w:rPr>
                <w:rFonts w:ascii="Calibri" w:cs="Calibri" w:eastAsia="Calibri" w:hAnsi="Calibri"/>
                <w:b/>
                <w:bCs/>
                <w:color w:val="FFFFFF"/>
                <w:sz w:val="20"/>
                <w:szCs w:val="20"/>
              </w:rPr>
              <w:t xml:space="preserve">Observé</w:t>
            </w:r>
          </w:p>
        </w:tc>
        <w:tc>
          <w:tcPr>
            <w:tcW w:type="dxa" w:w="15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center"/>
            </w:pPr>
            <w:r>
              <w:rPr>
                <w:rFonts w:ascii="Calibri" w:cs="Calibri" w:eastAsia="Calibri" w:hAnsi="Calibri"/>
                <w:b/>
                <w:bCs/>
                <w:color w:val="FFFFFF"/>
                <w:sz w:val="20"/>
                <w:szCs w:val="20"/>
              </w:rPr>
              <w:t xml:space="preserve">Écart</w:t>
            </w:r>
          </w:p>
        </w:tc>
        <w:tc>
          <w:tcPr>
            <w:tcW w:type="dxa" w:w="15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center"/>
            </w:pPr>
            <w:r>
              <w:rPr>
                <w:rFonts w:ascii="Calibri" w:cs="Calibri" w:eastAsia="Calibri" w:hAnsi="Calibri"/>
                <w:b/>
                <w:bCs/>
                <w:color w:val="FFFFFF"/>
                <w:sz w:val="20"/>
                <w:szCs w:val="20"/>
              </w:rPr>
              <w:t xml:space="preserve">Score</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Communication haut-contexte</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+70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-30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100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B8794B"/>
                <w:sz w:val="20"/>
                <w:szCs w:val="20"/>
              </w:rPr>
              <w:t xml:space="preserve">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Critique indirecte</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+60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-60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120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B8794B"/>
                <w:sz w:val="20"/>
                <w:szCs w:val="20"/>
              </w:rPr>
              <w:t xml:space="preserve">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Hiérarchie marquée</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+50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+20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30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70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Décision top-down</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+40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-40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80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20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Confiance par relation</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+50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-30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80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20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Évitement du désaccord</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+80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-50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130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B8794B"/>
                <w:sz w:val="20"/>
                <w:szCs w:val="20"/>
              </w:rPr>
              <w:t xml:space="preserve">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Temps flexible</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+30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-50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80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20</w:t>
            </w:r>
          </w:p>
        </w:tc>
      </w:tr>
      <w:tr>
        <w:tc>
          <w:tcPr>
            <w:tcW w:type="dxa" w:w="312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Convaincre par application</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+20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-60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80</w:t>
            </w:r>
          </w:p>
        </w:tc>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val="false"/>
                <w:bCs w:val="false"/>
                <w:color w:val="1A1A1A"/>
                <w:sz w:val="20"/>
                <w:szCs w:val="20"/>
              </w:rPr>
              <w:t xml:space="preserve">20</w:t>
            </w:r>
          </w:p>
        </w:tc>
      </w:tr>
    </w:tbl>
    <w:p>
      <w:pPr>
        <w:spacing w:after="240"/>
      </w:pPr>
    </w:p>
    <w:p>
      <w:pPr>
        <w:spacing w:after="120" w:before="0" w:line="300"/>
        <w:jc w:val="both"/>
      </w:pPr>
      <w:r>
        <w:rPr>
          <w:rFonts w:ascii="Calibri" w:cs="Calibri" w:eastAsia="Calibri" w:hAnsi="Calibri"/>
          <w:b w:val="false"/>
          <w:bCs w:val="false"/>
          <w:i w:val="false"/>
          <w:iCs w:val="false"/>
          <w:color w:val="1A1A1A"/>
          <w:sz w:val="22"/>
          <w:szCs w:val="22"/>
        </w:rPr>
        <w:t xml:space="preserve">Le score moyen sur les codes culturels est de dix-neuf sur cent. Combiné avec un niveau de langue B2 (équivalent score 70) et une performance opérationnelle évaluée à 45, le Cultural Readiness Score final est de quarante-deux sur cent.</w:t>
      </w:r>
    </w:p>
    <w:p>
      <w:pPr>
        <w:pBdr>
          <w:top w:val="single" w:color="B8794B" w:sz="6"/>
          <w:bottom w:val="single" w:color="B8794B" w:sz="6"/>
          <w:left w:val="single" w:color="B8794B" w:sz="6"/>
          <w:right w:val="single" w:color="B8794B" w:sz="6"/>
        </w:pBdr>
        <w:shd w:fill="FDF6E3" w:val="clear"/>
        <w:spacing w:after="240" w:before="240"/>
        <w:ind w:left="240" w:right="240"/>
      </w:pPr>
      <w:r>
        <w:rPr>
          <w:rFonts w:ascii="Calibri" w:cs="Calibri" w:eastAsia="Calibri" w:hAnsi="Calibri"/>
          <w:b/>
          <w:bCs/>
          <w:color w:val="B8794B"/>
          <w:sz w:val="22"/>
          <w:szCs w:val="22"/>
        </w:rPr>
        <w:t xml:space="preserve">★ L'interprétation du score</w:t>
      </w:r>
      <w:r>
        <w:br/>
        <w:t xml:space="preserve"/>
      </w:r>
      <w:r>
        <w:rPr>
          <w:rFonts w:ascii="Calibri" w:cs="Calibri" w:eastAsia="Calibri" w:hAnsi="Calibri"/>
          <w:color w:val="1A1A1A"/>
          <w:sz w:val="22"/>
          <w:szCs w:val="22"/>
        </w:rPr>
        <w:t xml:space="preserve">Avec un CRS de 42 sur 100, ce VP commercial est dans la zone à risque. La recommandation, exprimée en langage de DRH, est claire : préparation intensive requise avant déplacement, sous peine de répétition du scénario Hong Kong.</w:t>
      </w:r>
    </w:p>
    <w:p>
      <w:pPr>
        <w:pStyle w:val="Heading2"/>
        <w:spacing w:after="180" w:before="360"/>
      </w:pPr>
      <w:r>
        <w:rPr>
          <w:rFonts w:ascii="Calibri" w:cs="Calibri" w:eastAsia="Calibri" w:hAnsi="Calibri"/>
          <w:b/>
          <w:bCs/>
          <w:color w:val="0F1A2E"/>
          <w:sz w:val="28"/>
          <w:szCs w:val="28"/>
        </w:rPr>
        <w:t xml:space="preserve">4.6 · L'échelle de lecture</w:t>
      </w:r>
    </w:p>
    <w:p>
      <w:pPr>
        <w:spacing w:after="120" w:before="0" w:line="300"/>
        <w:jc w:val="both"/>
      </w:pPr>
      <w:r>
        <w:rPr>
          <w:rFonts w:ascii="Calibri" w:cs="Calibri" w:eastAsia="Calibri" w:hAnsi="Calibri"/>
          <w:b w:val="false"/>
          <w:bCs w:val="false"/>
          <w:i w:val="false"/>
          <w:iCs w:val="false"/>
          <w:color w:val="1A1A1A"/>
          <w:sz w:val="22"/>
          <w:szCs w:val="22"/>
        </w:rPr>
        <w:t xml:space="preserve">Le Cultural Readiness Score est lu sur une échelle à quatre paliers, conçue pour être interprétable par un décideur non spécialiste.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center"/>
            </w:pPr>
            <w:r>
              <w:rPr>
                <w:rFonts w:ascii="Calibri" w:cs="Calibri" w:eastAsia="Calibri" w:hAnsi="Calibri"/>
                <w:b/>
                <w:bCs/>
                <w:color w:val="FFFFFF"/>
                <w:sz w:val="20"/>
                <w:szCs w:val="20"/>
              </w:rPr>
              <w:t xml:space="preserve">Score</w:t>
            </w:r>
          </w:p>
        </w:tc>
        <w:tc>
          <w:tcPr>
            <w:tcW w:type="dxa" w:w="234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Niveau</w:t>
            </w:r>
          </w:p>
        </w:tc>
        <w:tc>
          <w:tcPr>
            <w:tcW w:type="dxa" w:w="5460"/>
            <w:tcBorders>
              <w:top w:val="single" w:color="D9D2C2" w:sz="4"/>
              <w:left w:val="single" w:color="D9D2C2" w:sz="4"/>
              <w:bottom w:val="single" w:color="D9D2C2" w:sz="4"/>
              <w:right w:val="single" w:color="D9D2C2" w:sz="4"/>
            </w:tcBorders>
            <w:shd w:fill="0F1A2E" w:val="clear"/>
            <w:tcMar>
              <w:top w:type="dxa" w:w="120"/>
              <w:left w:type="dxa" w:w="160"/>
              <w:bottom w:type="dxa" w:w="120"/>
              <w:right w:type="dxa" w:w="160"/>
            </w:tcMar>
          </w:tcPr>
          <w:p>
            <w:pPr>
              <w:spacing w:after="0" w:before="0"/>
              <w:jc w:val="left"/>
            </w:pPr>
            <w:r>
              <w:rPr>
                <w:rFonts w:ascii="Calibri" w:cs="Calibri" w:eastAsia="Calibri" w:hAnsi="Calibri"/>
                <w:b/>
                <w:bCs/>
                <w:color w:val="FFFFFF"/>
                <w:sz w:val="20"/>
                <w:szCs w:val="20"/>
              </w:rPr>
              <w:t xml:space="preserve">Recommandation business</w:t>
            </w:r>
          </w:p>
        </w:tc>
      </w:tr>
      <w:tr>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B8794B"/>
                <w:sz w:val="20"/>
                <w:szCs w:val="20"/>
              </w:rPr>
              <w:t xml:space="preserve">0–40</w:t>
            </w:r>
          </w:p>
        </w:tc>
        <w:tc>
          <w:tcPr>
            <w:tcW w:type="dxa" w:w="234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Risque culturel</w:t>
            </w:r>
          </w:p>
        </w:tc>
        <w:tc>
          <w:tcPr>
            <w:tcW w:type="dxa" w:w="54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Pas de déplacement, stage ou négociation sans préparation intensive</w:t>
            </w:r>
          </w:p>
        </w:tc>
      </w:tr>
      <w:tr>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1A1A1A"/>
                <w:sz w:val="20"/>
                <w:szCs w:val="20"/>
              </w:rPr>
              <w:t xml:space="preserve">41–60</w:t>
            </w:r>
          </w:p>
        </w:tc>
        <w:tc>
          <w:tcPr>
            <w:tcW w:type="dxa" w:w="234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Sensibilisé</w:t>
            </w:r>
          </w:p>
        </w:tc>
        <w:tc>
          <w:tcPr>
            <w:tcW w:type="dxa" w:w="54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Opérationnel en équipe, supervision recommandée</w:t>
            </w:r>
          </w:p>
        </w:tc>
      </w:tr>
      <w:tr>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1A1A1A"/>
                <w:sz w:val="20"/>
                <w:szCs w:val="20"/>
              </w:rPr>
              <w:t xml:space="preserve">61–80</w:t>
            </w:r>
          </w:p>
        </w:tc>
        <w:tc>
          <w:tcPr>
            <w:tcW w:type="dxa" w:w="234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Opérationnel</w:t>
            </w:r>
          </w:p>
        </w:tc>
        <w:tc>
          <w:tcPr>
            <w:tcW w:type="dxa" w:w="54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Autonome sur la plupart des situations</w:t>
            </w:r>
          </w:p>
        </w:tc>
      </w:tr>
      <w:tr>
        <w:tc>
          <w:tcPr>
            <w:tcW w:type="dxa" w:w="15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center"/>
            </w:pPr>
            <w:r>
              <w:rPr>
                <w:rFonts w:ascii="Calibri" w:cs="Calibri" w:eastAsia="Calibri" w:hAnsi="Calibri"/>
                <w:b/>
                <w:bCs/>
                <w:color w:val="1A1A1A"/>
                <w:sz w:val="20"/>
                <w:szCs w:val="20"/>
              </w:rPr>
              <w:t xml:space="preserve">81–100</w:t>
            </w:r>
          </w:p>
        </w:tc>
        <w:tc>
          <w:tcPr>
            <w:tcW w:type="dxa" w:w="234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bCs/>
                <w:color w:val="1A1A1A"/>
                <w:sz w:val="20"/>
                <w:szCs w:val="20"/>
              </w:rPr>
              <w:t xml:space="preserve">Maîtrise</w:t>
            </w:r>
          </w:p>
        </w:tc>
        <w:tc>
          <w:tcPr>
            <w:tcW w:type="dxa" w:w="5460"/>
            <w:tcBorders>
              <w:top w:val="single" w:color="D9D2C2" w:sz="4"/>
              <w:left w:val="single" w:color="D9D2C2" w:sz="4"/>
              <w:bottom w:val="single" w:color="D9D2C2" w:sz="4"/>
              <w:right w:val="single" w:color="D9D2C2" w:sz="4"/>
            </w:tcBorders>
            <w:shd w:fill="FFFFFF" w:val="clear"/>
            <w:tcMar>
              <w:top w:type="dxa" w:w="120"/>
              <w:left w:type="dxa" w:w="160"/>
              <w:bottom w:type="dxa" w:w="120"/>
              <w:right w:type="dxa" w:w="160"/>
            </w:tcMar>
          </w:tcPr>
          <w:p>
            <w:pPr>
              <w:spacing w:after="0" w:before="0"/>
              <w:jc w:val="left"/>
            </w:pPr>
            <w:r>
              <w:rPr>
                <w:rFonts w:ascii="Calibri" w:cs="Calibri" w:eastAsia="Calibri" w:hAnsi="Calibri"/>
                <w:b w:val="false"/>
                <w:bCs w:val="false"/>
                <w:color w:val="1A1A1A"/>
                <w:sz w:val="20"/>
                <w:szCs w:val="20"/>
              </w:rPr>
              <w:t xml:space="preserve">Peut représenter, négocier, manager dans ce contexte</w:t>
            </w:r>
          </w:p>
        </w:tc>
      </w:tr>
    </w:tbl>
    <w:p>
      <w:pPr>
        <w:spacing w:after="240"/>
      </w:pPr>
    </w:p>
    <w:p>
      <w:pPr>
        <w:spacing w:after="120" w:before="0" w:line="300"/>
        <w:jc w:val="both"/>
      </w:pPr>
      <w:r>
        <w:rPr>
          <w:rFonts w:ascii="Calibri" w:cs="Calibri" w:eastAsia="Calibri" w:hAnsi="Calibri"/>
          <w:b w:val="false"/>
          <w:bCs w:val="false"/>
          <w:i w:val="false"/>
          <w:iCs w:val="false"/>
          <w:color w:val="1A1A1A"/>
          <w:sz w:val="22"/>
          <w:szCs w:val="22"/>
        </w:rPr>
        <w:t xml:space="preserve">Cette grille devient, dans la pratique, le vocabulaire commercial des directions des ressources humaines : vos cadres clés sur Hong Kong sont trois à risque, cinq sensibilisés, deux opérationnels, zéro maîtrise. Une telle phrase est immédiatement actionnable au comité de direction.</w:t>
      </w:r>
    </w:p>
    <w:p>
      <w:pPr>
        <w:pStyle w:val="Heading2"/>
        <w:spacing w:after="180" w:before="360"/>
      </w:pPr>
      <w:r>
        <w:rPr>
          <w:rFonts w:ascii="Calibri" w:cs="Calibri" w:eastAsia="Calibri" w:hAnsi="Calibri"/>
          <w:b/>
          <w:bCs/>
          <w:color w:val="0F1A2E"/>
          <w:sz w:val="28"/>
          <w:szCs w:val="28"/>
        </w:rPr>
        <w:t xml:space="preserve">4.7 · Les limites assumées de la méthode</w:t>
      </w:r>
    </w:p>
    <w:p>
      <w:pPr>
        <w:spacing w:after="120" w:before="0" w:line="300"/>
        <w:jc w:val="both"/>
      </w:pPr>
      <w:r>
        <w:rPr>
          <w:rFonts w:ascii="Calibri" w:cs="Calibri" w:eastAsia="Calibri" w:hAnsi="Calibri"/>
          <w:b w:val="false"/>
          <w:bCs w:val="false"/>
          <w:i w:val="false"/>
          <w:iCs w:val="false"/>
          <w:color w:val="1A1A1A"/>
          <w:sz w:val="22"/>
          <w:szCs w:val="22"/>
        </w:rPr>
        <w:t xml:space="preserve">Aucun score composite n'est parfait. Nous identifions cinq limites à la méthode proposée, que nous documentons pour transparence.</w:t>
      </w:r>
    </w:p>
    <w:p>
      <w:pPr>
        <w:pStyle w:val="ListParagraph"/>
        <w:numPr>
          <w:ilvl w:val="0"/>
          <w:numId w:val="2"/>
        </w:numPr>
        <w:spacing w:after="120" w:line="300"/>
      </w:pPr>
      <w:r>
        <w:rPr>
          <w:rFonts w:ascii="Calibri" w:cs="Calibri" w:eastAsia="Calibri" w:hAnsi="Calibri"/>
          <w:color w:val="1A1A1A"/>
          <w:sz w:val="22"/>
          <w:szCs w:val="22"/>
        </w:rPr>
        <w:t xml:space="preserve">La pondération 30/40/30 entre langue, culture et performance est un choix méthodologique. Elle peut être contestée. Une pondération 25/50/25, donnant encore plus de poids à la culture, est tout aussi défendable.</w:t>
      </w:r>
    </w:p>
    <w:p>
      <w:pPr>
        <w:pStyle w:val="ListParagraph"/>
        <w:numPr>
          <w:ilvl w:val="0"/>
          <w:numId w:val="2"/>
        </w:numPr>
        <w:spacing w:after="120" w:line="300"/>
      </w:pPr>
      <w:r>
        <w:rPr>
          <w:rFonts w:ascii="Calibri" w:cs="Calibri" w:eastAsia="Calibri" w:hAnsi="Calibri"/>
          <w:color w:val="1A1A1A"/>
          <w:sz w:val="22"/>
          <w:szCs w:val="22"/>
        </w:rPr>
        <w:t xml:space="preserve">Les profils culturels de référence par marché sont issus de la littérature académique mais doivent être actualisés régulièrement. Les cultures évoluent, en particulier dans les économies en croissance rapide.</w:t>
      </w:r>
    </w:p>
    <w:p>
      <w:pPr>
        <w:pStyle w:val="ListParagraph"/>
        <w:numPr>
          <w:ilvl w:val="0"/>
          <w:numId w:val="2"/>
        </w:numPr>
        <w:spacing w:after="120" w:line="300"/>
      </w:pPr>
      <w:r>
        <w:rPr>
          <w:rFonts w:ascii="Calibri" w:cs="Calibri" w:eastAsia="Calibri" w:hAnsi="Calibri"/>
          <w:color w:val="1A1A1A"/>
          <w:sz w:val="22"/>
          <w:szCs w:val="22"/>
        </w:rPr>
        <w:t xml:space="preserve">L'évaluation automatique par l'IA des comportements observés est aujourd'hui techniquement faisable, mais elle reste perfectible. Un travail de validation par inter-rater reliability — comparaison avec des experts humains — est nécessaire.</w:t>
      </w:r>
    </w:p>
    <w:p>
      <w:pPr>
        <w:pStyle w:val="ListParagraph"/>
        <w:numPr>
          <w:ilvl w:val="0"/>
          <w:numId w:val="2"/>
        </w:numPr>
        <w:spacing w:after="120" w:line="300"/>
      </w:pPr>
      <w:r>
        <w:rPr>
          <w:rFonts w:ascii="Calibri" w:cs="Calibri" w:eastAsia="Calibri" w:hAnsi="Calibri"/>
          <w:color w:val="1A1A1A"/>
          <w:sz w:val="22"/>
          <w:szCs w:val="22"/>
        </w:rPr>
        <w:t xml:space="preserve">Le score ne capture pas la dimension non verbale de la communication interculturelle : posture, gestuelle, codes vestimentaires, codes culinaires. Ces dimensions, importantes, restent à intégrer dans des versions ultérieures de la méthode.</w:t>
      </w:r>
    </w:p>
    <w:p>
      <w:pPr>
        <w:pStyle w:val="ListParagraph"/>
        <w:numPr>
          <w:ilvl w:val="0"/>
          <w:numId w:val="2"/>
        </w:numPr>
        <w:spacing w:after="120" w:line="300"/>
      </w:pPr>
      <w:r>
        <w:rPr>
          <w:rFonts w:ascii="Calibri" w:cs="Calibri" w:eastAsia="Calibri" w:hAnsi="Calibri"/>
          <w:color w:val="1A1A1A"/>
          <w:sz w:val="22"/>
          <w:szCs w:val="22"/>
        </w:rPr>
        <w:t xml:space="preserve">Le score est un indicateur de probabilité, pas une garantie. Un cadre à 80 sur 100 peut échouer sur un cas particulier. Un cadre à 40 peut réussir s'il est bien encadré. Le score informe la décision ; il ne la remplace pas.</w:t>
      </w:r>
    </w:p>
    <w:p>
      <w:pPr>
        <w:spacing w:after="120" w:before="0" w:line="300"/>
        <w:jc w:val="both"/>
      </w:pPr>
      <w:r>
        <w:rPr>
          <w:rFonts w:ascii="Calibri" w:cs="Calibri" w:eastAsia="Calibri" w:hAnsi="Calibri"/>
          <w:b w:val="false"/>
          <w:bCs w:val="false"/>
          <w:i w:val="false"/>
          <w:iCs w:val="false"/>
          <w:color w:val="1A1A1A"/>
          <w:sz w:val="22"/>
          <w:szCs w:val="22"/>
        </w:rPr>
        <w:t xml:space="preserve">Ces limites ne disqualifient pas la méthode. Elles invitent à la prudence dans son usage, et au travail de validation longitudinale qu'il faudra mener sur les douze à dix-huit prochains mois pour consolider sa fiabilité.</w:t>
      </w:r>
    </w:p>
    <w:p>
      <w:r>
        <w:br w:type="page"/>
      </w:r>
    </w:p>
    <w:p>
      <w:pPr>
        <w:spacing w:after="480" w:before="480"/>
      </w:pPr>
      <w:r>
        <w:rPr>
          <w:rFonts w:ascii="Calibri" w:cs="Calibri" w:eastAsia="Calibri" w:hAnsi="Calibri"/>
          <w:b/>
          <w:bCs/>
          <w:color w:val="0F1A2E"/>
          <w:sz w:val="48"/>
          <w:szCs w:val="48"/>
        </w:rPr>
        <w:t xml:space="preserve">Conclusion</w:t>
      </w:r>
    </w:p>
    <w:p>
      <w:pPr>
        <w:spacing w:after="360"/>
      </w:pPr>
      <w:r>
        <w:rPr>
          <w:rFonts w:ascii="Calibri" w:cs="Calibri" w:eastAsia="Calibri" w:hAnsi="Calibri"/>
          <w:i/>
          <w:iCs/>
          <w:color w:val="B8794B"/>
          <w:sz w:val="28"/>
          <w:szCs w:val="28"/>
        </w:rPr>
        <w:t xml:space="preserve">Trois actions pour les directions RH et pédagogiques en 2026</w:t>
      </w:r>
    </w:p>
    <w:p>
      <w:pPr>
        <w:spacing w:after="120" w:before="0" w:line="300"/>
        <w:jc w:val="both"/>
      </w:pPr>
      <w:r>
        <w:rPr>
          <w:rFonts w:ascii="Calibri" w:cs="Calibri" w:eastAsia="Calibri" w:hAnsi="Calibri"/>
          <w:b w:val="false"/>
          <w:bCs w:val="false"/>
          <w:i w:val="false"/>
          <w:iCs w:val="false"/>
          <w:color w:val="1A1A1A"/>
          <w:sz w:val="22"/>
          <w:szCs w:val="22"/>
        </w:rPr>
        <w:t xml:space="preserve">Nous avons documenté dans ce livre blanc un phénomène structurel : la cécité culturelle des organisations françaises et européennes face à l'internationalisation de leurs activités. Nous avons montré qu'aucun outil actuel ne le combat efficacement. Nous avons proposé une méthode de mesure.</w:t>
      </w:r>
    </w:p>
    <w:p>
      <w:pPr>
        <w:spacing w:after="120" w:before="0" w:line="300"/>
        <w:jc w:val="both"/>
      </w:pPr>
      <w:r>
        <w:rPr>
          <w:rFonts w:ascii="Calibri" w:cs="Calibri" w:eastAsia="Calibri" w:hAnsi="Calibri"/>
          <w:b w:val="false"/>
          <w:bCs w:val="false"/>
          <w:i w:val="false"/>
          <w:iCs w:val="false"/>
          <w:color w:val="1A1A1A"/>
          <w:sz w:val="22"/>
          <w:szCs w:val="22"/>
        </w:rPr>
        <w:t xml:space="preserve">Reste à passer à l'action. Voici trois recommandations concrètes, calibrées pour la réalité des directions des ressources humaines et des directions pédagogiques en 2026.</w:t>
      </w:r>
    </w:p>
    <w:p>
      <w:pPr>
        <w:pStyle w:val="Heading3"/>
        <w:spacing w:after="120" w:before="240"/>
      </w:pPr>
      <w:r>
        <w:rPr>
          <w:rFonts w:ascii="Calibri" w:cs="Calibri" w:eastAsia="Calibri" w:hAnsi="Calibri"/>
          <w:b/>
          <w:bCs/>
          <w:color w:val="2A3A55"/>
          <w:sz w:val="24"/>
          <w:szCs w:val="24"/>
        </w:rPr>
        <w:t xml:space="preserve">Action 1 · Cartographier votre exposition culturelle</w:t>
      </w:r>
    </w:p>
    <w:p>
      <w:pPr>
        <w:spacing w:after="120" w:before="0" w:line="300"/>
        <w:jc w:val="both"/>
      </w:pPr>
      <w:r>
        <w:rPr>
          <w:rFonts w:ascii="Calibri" w:cs="Calibri" w:eastAsia="Calibri" w:hAnsi="Calibri"/>
          <w:b w:val="false"/>
          <w:bCs w:val="false"/>
          <w:i w:val="false"/>
          <w:iCs w:val="false"/>
          <w:color w:val="1A1A1A"/>
          <w:sz w:val="22"/>
          <w:szCs w:val="22"/>
        </w:rPr>
        <w:t xml:space="preserve">Avant de former, mesurer. Identifiez les cadres et les étudiants de votre organisation qui sont, ou seront, exposés à des marchés culturellement distants dans les douze prochains mois. Ce travail simple révèle souvent des surprises : la cible n'est pas toujours là où on l'attend. Un service achats qui négocie avec des fournisseurs chinois est aussi exposé qu'une équipe commerciale qui se déplace à Lagos.</w:t>
      </w:r>
    </w:p>
    <w:p>
      <w:pPr>
        <w:spacing w:after="120" w:before="0" w:line="300"/>
        <w:jc w:val="both"/>
      </w:pPr>
      <w:r>
        <w:rPr>
          <w:rFonts w:ascii="Calibri" w:cs="Calibri" w:eastAsia="Calibri" w:hAnsi="Calibri"/>
          <w:b w:val="false"/>
          <w:bCs w:val="false"/>
          <w:i w:val="false"/>
          <w:iCs w:val="false"/>
          <w:color w:val="1A1A1A"/>
          <w:sz w:val="22"/>
          <w:szCs w:val="22"/>
        </w:rPr>
        <w:t xml:space="preserve">Cette cartographie produit immédiatement deux livrables : une liste de cadres à former en priorité, et une mesure de votre exposition culturelle globale — donc de votre risque global.</w:t>
      </w:r>
    </w:p>
    <w:p>
      <w:pPr>
        <w:pStyle w:val="Heading3"/>
        <w:spacing w:after="120" w:before="240"/>
      </w:pPr>
      <w:r>
        <w:rPr>
          <w:rFonts w:ascii="Calibri" w:cs="Calibri" w:eastAsia="Calibri" w:hAnsi="Calibri"/>
          <w:b/>
          <w:bCs/>
          <w:color w:val="2A3A55"/>
          <w:sz w:val="24"/>
          <w:szCs w:val="24"/>
        </w:rPr>
        <w:t xml:space="preserve">Action 2 · Mesurer avant de juger</w:t>
      </w:r>
    </w:p>
    <w:p>
      <w:pPr>
        <w:spacing w:after="120" w:before="0" w:line="300"/>
        <w:jc w:val="both"/>
      </w:pPr>
      <w:r>
        <w:rPr>
          <w:rFonts w:ascii="Calibri" w:cs="Calibri" w:eastAsia="Calibri" w:hAnsi="Calibri"/>
          <w:b w:val="false"/>
          <w:bCs w:val="false"/>
          <w:i w:val="false"/>
          <w:iCs w:val="false"/>
          <w:color w:val="1A1A1A"/>
          <w:sz w:val="22"/>
          <w:szCs w:val="22"/>
        </w:rPr>
        <w:t xml:space="preserve">Ne présumez pas qu'un cadre à l'anglais fluide est prêt pour Hong Kong. Mesurez. Le Cultural Readiness Score, ou tout autre outil équivalent, vous donne une lecture objective. Le résultat surprend souvent. Les cadres les plus à l'aise en réunion à Paris sont parfois les plus à risque à l'international, parce que leur assurance occidentale les empêche de lire les signaux faibles.</w:t>
      </w:r>
    </w:p>
    <w:p>
      <w:pPr>
        <w:spacing w:after="120" w:before="0" w:line="300"/>
        <w:jc w:val="both"/>
      </w:pPr>
      <w:r>
        <w:rPr>
          <w:rFonts w:ascii="Calibri" w:cs="Calibri" w:eastAsia="Calibri" w:hAnsi="Calibri"/>
          <w:b w:val="false"/>
          <w:bCs w:val="false"/>
          <w:i w:val="false"/>
          <w:iCs w:val="false"/>
          <w:color w:val="1A1A1A"/>
          <w:sz w:val="22"/>
          <w:szCs w:val="22"/>
        </w:rPr>
        <w:t xml:space="preserve">Cette mesure transforme la conversation avec votre direction financière : vous ne défendez plus un budget de formation à l'aveugle. Vous documentez un risque chiffré. Le langage change, l'écoute aussi.</w:t>
      </w:r>
    </w:p>
    <w:p>
      <w:pPr>
        <w:pStyle w:val="Heading3"/>
        <w:spacing w:after="120" w:before="240"/>
      </w:pPr>
      <w:r>
        <w:rPr>
          <w:rFonts w:ascii="Calibri" w:cs="Calibri" w:eastAsia="Calibri" w:hAnsi="Calibri"/>
          <w:b/>
          <w:bCs/>
          <w:color w:val="2A3A55"/>
          <w:sz w:val="24"/>
          <w:szCs w:val="24"/>
        </w:rPr>
        <w:t xml:space="preserve">Action 3 · Combiner outil et accompagnement humain</w:t>
      </w:r>
    </w:p>
    <w:p>
      <w:pPr>
        <w:spacing w:after="120" w:before="0" w:line="300"/>
        <w:jc w:val="both"/>
      </w:pPr>
      <w:r>
        <w:rPr>
          <w:rFonts w:ascii="Calibri" w:cs="Calibri" w:eastAsia="Calibri" w:hAnsi="Calibri"/>
          <w:b w:val="false"/>
          <w:bCs w:val="false"/>
          <w:i w:val="false"/>
          <w:iCs w:val="false"/>
          <w:color w:val="1A1A1A"/>
          <w:sz w:val="22"/>
          <w:szCs w:val="22"/>
        </w:rPr>
        <w:t xml:space="preserve">Les trois entretiens que nous avons restitués convergent sur un point : aucun outil ne remplace l'encadrant humain. L'erreur stratégique de la décennie 2020 a été de croire que l'intelligence artificielle pouvait à elle seule transformer la formation. Elle ne peut pas. Mais elle peut décharger les encadrants de leurs tâches répétitives — corrections, évaluations, suivi — pour leur permettre de se concentrer sur les jalons à forte valeur.</w:t>
      </w:r>
    </w:p>
    <w:p>
      <w:pPr>
        <w:spacing w:after="120" w:before="0" w:line="300"/>
        <w:jc w:val="both"/>
      </w:pPr>
      <w:r>
        <w:rPr>
          <w:rFonts w:ascii="Calibri" w:cs="Calibri" w:eastAsia="Calibri" w:hAnsi="Calibri"/>
          <w:b w:val="false"/>
          <w:bCs w:val="false"/>
          <w:i w:val="false"/>
          <w:iCs w:val="false"/>
          <w:color w:val="1A1A1A"/>
          <w:sz w:val="22"/>
          <w:szCs w:val="22"/>
        </w:rPr>
        <w:t xml:space="preserve">Une formation efficace en 2026 combine trois éléments : un outil pour la pratique quotidienne, un encadrant humain pour les moments-clés, une mesure chiffrée pour la traçabilité. Aucun des trois n'est négociable.</w:t>
      </w:r>
    </w:p>
    <w:p>
      <w:pPr>
        <w:pStyle w:val="Heading2"/>
        <w:spacing w:after="180" w:before="360"/>
      </w:pPr>
      <w:r>
        <w:rPr>
          <w:rFonts w:ascii="Calibri" w:cs="Calibri" w:eastAsia="Calibri" w:hAnsi="Calibri"/>
          <w:b/>
          <w:bCs/>
          <w:color w:val="0F1A2E"/>
          <w:sz w:val="28"/>
          <w:szCs w:val="28"/>
        </w:rPr>
        <w:t xml:space="preserve">Le mot de la fin</w:t>
      </w:r>
    </w:p>
    <w:p>
      <w:pPr>
        <w:spacing w:after="120" w:before="0" w:line="300"/>
        <w:jc w:val="both"/>
      </w:pPr>
      <w:r>
        <w:rPr>
          <w:rFonts w:ascii="Calibri" w:cs="Calibri" w:eastAsia="Calibri" w:hAnsi="Calibri"/>
          <w:b w:val="false"/>
          <w:bCs w:val="false"/>
          <w:i w:val="false"/>
          <w:iCs w:val="false"/>
          <w:color w:val="1A1A1A"/>
          <w:sz w:val="22"/>
          <w:szCs w:val="22"/>
        </w:rPr>
        <w:t xml:space="preserve">La barrière linguistique a longtemps été perçue comme une fatalité pour les cadres français. La fluence en anglais l'a partiellement levée. Reste la barrière culturelle — moins visible, plus coûteuse, plus difficile à mesurer. Mais elle peut, elle aussi, être adressée. C'est notre conviction. C'est le projet de Questia.</w:t>
      </w:r>
    </w:p>
    <w:p>
      <w:pPr>
        <w:spacing w:after="120" w:before="0" w:line="300"/>
        <w:jc w:val="both"/>
      </w:pPr>
      <w:r>
        <w:rPr>
          <w:rFonts w:ascii="Calibri" w:cs="Calibri" w:eastAsia="Calibri" w:hAnsi="Calibri"/>
          <w:b w:val="false"/>
          <w:bCs w:val="false"/>
          <w:i w:val="false"/>
          <w:iCs w:val="false"/>
          <w:color w:val="1A1A1A"/>
          <w:sz w:val="22"/>
          <w:szCs w:val="22"/>
        </w:rPr>
        <w:t xml:space="preserve">Nous croyons qu'à terme, plus aucun talent ne devrait être limité par la langue ou la culture dans laquelle il travaille. Pas parce que ces dimensions disparaîtront — elles font la richesse du monde — mais parce qu'elles cesseront d'être des obstacles invisibles. Quand on mesure, on agit. Quand on agit, on transforme.</w:t>
      </w:r>
    </w:p>
    <w:p>
      <w:pPr>
        <w:spacing w:after="120" w:before="0" w:line="300"/>
        <w:jc w:val="both"/>
      </w:pPr>
      <w:r>
        <w:rPr>
          <w:rFonts w:ascii="Calibri" w:cs="Calibri" w:eastAsia="Calibri" w:hAnsi="Calibri"/>
          <w:b w:val="false"/>
          <w:bCs w:val="false"/>
          <w:i w:val="false"/>
          <w:iCs w:val="false"/>
          <w:color w:val="1A1A1A"/>
          <w:sz w:val="22"/>
          <w:szCs w:val="22"/>
        </w:rPr>
        <w:t xml:space="preserve">Si ce livre blanc vous a apporté un éclairage utile, prolongez la réflexion avec l'équipe Questia. Vous trouverez à la page suivante les modalités d'un diagnostic offert, conçu spécifiquement pour les directions RH et pédagogiques qui souhaitent évaluer leur exposition à la cécité culturelle.</w:t>
      </w:r>
    </w:p>
    <w:p>
      <w:r>
        <w:br w:type="page"/>
      </w:r>
    </w:p>
    <w:p>
      <w:pPr>
        <w:spacing w:after="360" w:before="480"/>
        <w:jc w:val="center"/>
      </w:pPr>
      <w:r>
        <w:rPr>
          <w:rFonts w:ascii="Calibri" w:cs="Calibri" w:eastAsia="Calibri" w:hAnsi="Calibri"/>
          <w:b/>
          <w:bCs/>
          <w:color w:val="B8794B"/>
          <w:spacing w:val="80"/>
          <w:sz w:val="20"/>
          <w:szCs w:val="20"/>
        </w:rPr>
        <w:t xml:space="preserve">★ OFFERT</w:t>
      </w:r>
    </w:p>
    <w:p>
      <w:pPr>
        <w:spacing w:after="480"/>
        <w:jc w:val="center"/>
      </w:pPr>
      <w:r>
        <w:rPr>
          <w:rFonts w:ascii="Calibri" w:cs="Calibri" w:eastAsia="Calibri" w:hAnsi="Calibri"/>
          <w:b/>
          <w:bCs/>
          <w:color w:val="0F1A2E"/>
          <w:sz w:val="44"/>
          <w:szCs w:val="44"/>
        </w:rPr>
        <w:t xml:space="preserve">Diagnostic Cultural Readiness Score</w:t>
      </w:r>
    </w:p>
    <w:p>
      <w:pPr>
        <w:spacing w:after="120" w:before="0" w:line="300"/>
        <w:jc w:val="center"/>
      </w:pPr>
      <w:r>
        <w:rPr>
          <w:rFonts w:ascii="Calibri" w:cs="Calibri" w:eastAsia="Calibri" w:hAnsi="Calibri"/>
          <w:b w:val="false"/>
          <w:bCs w:val="false"/>
          <w:i w:val="false"/>
          <w:iCs w:val="false"/>
          <w:color w:val="1A1A1A"/>
          <w:sz w:val="22"/>
          <w:szCs w:val="22"/>
        </w:rPr>
        <w:t xml:space="preserve">Nous proposons aux lecteurs de ce livre blanc un diagnostic offert, sans engagement, pour évaluer le Cultural Readiness Score de jusqu'à dix de leurs cadres ou étudiants les plus exposés à des marchés internationaux.</w:t>
      </w:r>
    </w:p>
    <w:p>
      <w:pPr>
        <w:spacing w:before="360"/>
      </w:pPr>
    </w:p>
    <w:p>
      <w:pPr>
        <w:pStyle w:val="Heading3"/>
        <w:spacing w:after="120" w:before="240"/>
      </w:pPr>
      <w:r>
        <w:rPr>
          <w:rFonts w:ascii="Calibri" w:cs="Calibri" w:eastAsia="Calibri" w:hAnsi="Calibri"/>
          <w:b/>
          <w:bCs/>
          <w:color w:val="2A3A55"/>
          <w:sz w:val="24"/>
          <w:szCs w:val="24"/>
        </w:rPr>
        <w:t xml:space="preserve">Ce que comprend le diagnostic</w:t>
      </w:r>
    </w:p>
    <w:p>
      <w:pPr>
        <w:pStyle w:val="ListParagraph"/>
        <w:numPr>
          <w:ilvl w:val="0"/>
          <w:numId w:val="2"/>
        </w:numPr>
        <w:spacing w:after="120" w:line="300"/>
      </w:pPr>
      <w:r>
        <w:rPr>
          <w:rFonts w:ascii="Calibri" w:cs="Calibri" w:eastAsia="Calibri" w:hAnsi="Calibri"/>
          <w:color w:val="1A1A1A"/>
          <w:sz w:val="22"/>
          <w:szCs w:val="22"/>
        </w:rPr>
        <w:t xml:space="preserve">Cartographie de votre exposition culturelle, sur la base d'un entretien de cadrage de quarante-cinq minutes avec un consultant Questia.</w:t>
      </w:r>
    </w:p>
    <w:p>
      <w:pPr>
        <w:pStyle w:val="ListParagraph"/>
        <w:numPr>
          <w:ilvl w:val="0"/>
          <w:numId w:val="2"/>
        </w:numPr>
        <w:spacing w:after="120" w:line="300"/>
      </w:pPr>
      <w:r>
        <w:rPr>
          <w:rFonts w:ascii="Calibri" w:cs="Calibri" w:eastAsia="Calibri" w:hAnsi="Calibri"/>
          <w:color w:val="1A1A1A"/>
          <w:sz w:val="22"/>
          <w:szCs w:val="22"/>
        </w:rPr>
        <w:t xml:space="preserve">Évaluation Cultural Readiness Score pour jusqu'à dix cadres ou étudiants, sur les marchés culturels de votre choix parmi notre catalogue : Hong Kong, Lagos, New York, São Paulo, Berlin, Tokyo, Riyad.</w:t>
      </w:r>
    </w:p>
    <w:p>
      <w:pPr>
        <w:pStyle w:val="ListParagraph"/>
        <w:numPr>
          <w:ilvl w:val="0"/>
          <w:numId w:val="2"/>
        </w:numPr>
        <w:spacing w:after="120" w:line="300"/>
      </w:pPr>
      <w:r>
        <w:rPr>
          <w:rFonts w:ascii="Calibri" w:cs="Calibri" w:eastAsia="Calibri" w:hAnsi="Calibri"/>
          <w:color w:val="1A1A1A"/>
          <w:sz w:val="22"/>
          <w:szCs w:val="22"/>
        </w:rPr>
        <w:t xml:space="preserve">Rapport d'analyse personnalisé, exportable en PDF, présentant les résultats par individu et par cohorte.</w:t>
      </w:r>
    </w:p>
    <w:p>
      <w:pPr>
        <w:pStyle w:val="ListParagraph"/>
        <w:numPr>
          <w:ilvl w:val="0"/>
          <w:numId w:val="2"/>
        </w:numPr>
        <w:spacing w:after="120" w:line="300"/>
      </w:pPr>
      <w:r>
        <w:rPr>
          <w:rFonts w:ascii="Calibri" w:cs="Calibri" w:eastAsia="Calibri" w:hAnsi="Calibri"/>
          <w:color w:val="1A1A1A"/>
          <w:sz w:val="22"/>
          <w:szCs w:val="22"/>
        </w:rPr>
        <w:t xml:space="preserve">Recommandations actionnables : qui former en priorité, sur quel marché, avec quel niveau d'intensité.</w:t>
      </w:r>
    </w:p>
    <w:p>
      <w:pPr>
        <w:pStyle w:val="ListParagraph"/>
        <w:numPr>
          <w:ilvl w:val="0"/>
          <w:numId w:val="2"/>
        </w:numPr>
        <w:spacing w:after="120" w:line="300"/>
      </w:pPr>
      <w:r>
        <w:rPr>
          <w:rFonts w:ascii="Calibri" w:cs="Calibri" w:eastAsia="Calibri" w:hAnsi="Calibri"/>
          <w:color w:val="1A1A1A"/>
          <w:sz w:val="22"/>
          <w:szCs w:val="22"/>
        </w:rPr>
        <w:t xml:space="preserve">Session de restitution de soixante minutes avec un consultant Questia, en visio ou en présentiel selon votre localisation.</w:t>
      </w:r>
    </w:p>
    <w:p>
      <w:pPr>
        <w:pStyle w:val="Heading3"/>
        <w:spacing w:after="120" w:before="240"/>
      </w:pPr>
      <w:r>
        <w:rPr>
          <w:rFonts w:ascii="Calibri" w:cs="Calibri" w:eastAsia="Calibri" w:hAnsi="Calibri"/>
          <w:b/>
          <w:bCs/>
          <w:color w:val="2A3A55"/>
          <w:sz w:val="24"/>
          <w:szCs w:val="24"/>
        </w:rPr>
        <w:t xml:space="preserve">Modalités pratiques</w:t>
      </w:r>
    </w:p>
    <w:p>
      <w:pPr>
        <w:pStyle w:val="ListParagraph"/>
        <w:numPr>
          <w:ilvl w:val="0"/>
          <w:numId w:val="2"/>
        </w:numPr>
        <w:spacing w:after="120" w:line="300"/>
      </w:pPr>
      <w:r>
        <w:rPr>
          <w:rFonts w:ascii="Calibri" w:cs="Calibri" w:eastAsia="Calibri" w:hAnsi="Calibri"/>
          <w:color w:val="1A1A1A"/>
          <w:sz w:val="22"/>
          <w:szCs w:val="22"/>
        </w:rPr>
        <w:t xml:space="preserve">Durée totale : trois à quatre semaines, du premier entretien à la restitution.</w:t>
      </w:r>
    </w:p>
    <w:p>
      <w:pPr>
        <w:pStyle w:val="ListParagraph"/>
        <w:numPr>
          <w:ilvl w:val="0"/>
          <w:numId w:val="2"/>
        </w:numPr>
        <w:spacing w:after="120" w:line="300"/>
      </w:pPr>
      <w:r>
        <w:rPr>
          <w:rFonts w:ascii="Calibri" w:cs="Calibri" w:eastAsia="Calibri" w:hAnsi="Calibri"/>
          <w:color w:val="1A1A1A"/>
          <w:sz w:val="22"/>
          <w:szCs w:val="22"/>
        </w:rPr>
        <w:t xml:space="preserve">Engagement : aucun. Aucune carte de paiement demandée. Aucune obligation contractuelle.</w:t>
      </w:r>
    </w:p>
    <w:p>
      <w:pPr>
        <w:pStyle w:val="ListParagraph"/>
        <w:numPr>
          <w:ilvl w:val="0"/>
          <w:numId w:val="2"/>
        </w:numPr>
        <w:spacing w:after="120" w:line="300"/>
      </w:pPr>
      <w:r>
        <w:rPr>
          <w:rFonts w:ascii="Calibri" w:cs="Calibri" w:eastAsia="Calibri" w:hAnsi="Calibri"/>
          <w:color w:val="1A1A1A"/>
          <w:sz w:val="22"/>
          <w:szCs w:val="22"/>
        </w:rPr>
        <w:t xml:space="preserve">Confidentialité : toutes les données collectées sont hébergées en Union Européenne, conformes au RGPD et à la loi AI Act 2026.</w:t>
      </w:r>
    </w:p>
    <w:p>
      <w:pPr>
        <w:pStyle w:val="ListParagraph"/>
        <w:numPr>
          <w:ilvl w:val="0"/>
          <w:numId w:val="2"/>
        </w:numPr>
        <w:spacing w:after="120" w:line="300"/>
      </w:pPr>
      <w:r>
        <w:rPr>
          <w:rFonts w:ascii="Calibri" w:cs="Calibri" w:eastAsia="Calibri" w:hAnsi="Calibri"/>
          <w:color w:val="1A1A1A"/>
          <w:sz w:val="22"/>
          <w:szCs w:val="22"/>
        </w:rPr>
        <w:t xml:space="preserve">Accès : ouvert aux directions RH, aux directions pédagogiques d'écoles supérieures, et aux dirigeants d'organismes de formation certifiés Qualiopi.</w:t>
      </w:r>
    </w:p>
    <w:p>
      <w:pPr>
        <w:shd w:fill="0F1A2E" w:val="clear"/>
        <w:spacing w:after="240" w:before="480"/>
        <w:ind w:left="360" w:right="360"/>
        <w:jc w:val="center"/>
      </w:pPr>
      <w:r>
        <w:rPr>
          <w:rFonts w:ascii="Calibri" w:cs="Calibri" w:eastAsia="Calibri" w:hAnsi="Calibri"/>
          <w:b/>
          <w:bCs/>
          <w:color w:val="FFFFFF"/>
          <w:sz w:val="24"/>
          <w:szCs w:val="24"/>
        </w:rPr>
        <w:t xml:space="preserve">Pour réserver votre diagnostic</w:t>
      </w:r>
    </w:p>
    <w:p>
      <w:pPr>
        <w:shd w:fill="0F1A2E" w:val="clear"/>
        <w:spacing w:after="240"/>
        <w:ind w:left="360" w:right="360"/>
        <w:jc w:val="center"/>
      </w:pPr>
      <w:r>
        <w:rPr>
          <w:rFonts w:ascii="Calibri" w:cs="Calibri" w:eastAsia="Calibri" w:hAnsi="Calibri"/>
          <w:b/>
          <w:bCs/>
          <w:color w:val="F5F1EA"/>
          <w:sz w:val="26"/>
          <w:szCs w:val="26"/>
        </w:rPr>
        <w:t xml:space="preserve">projetquestia@gmail.com</w:t>
      </w:r>
      <w:r>
        <w:br/>
        <w:t xml:space="preserve"/>
      </w:r>
      <w:r>
        <w:rPr>
          <w:rFonts w:ascii="Calibri" w:cs="Calibri" w:eastAsia="Calibri" w:hAnsi="Calibri"/>
          <w:color w:val="F5F1EA"/>
          <w:sz w:val="22"/>
          <w:szCs w:val="22"/>
        </w:rPr>
        <w:t xml:space="preserve">WhatsApp Pro · +44 7546 082186</w:t>
      </w:r>
      <w:r>
        <w:br/>
        <w:t xml:space="preserve"/>
      </w:r>
      <w:r>
        <w:rPr>
          <w:rFonts w:ascii="Calibri" w:cs="Calibri" w:eastAsia="Calibri" w:hAnsi="Calibri"/>
          <w:color w:val="F5F1EA"/>
          <w:sz w:val="22"/>
          <w:szCs w:val="22"/>
        </w:rPr>
        <w:t xml:space="preserve">projetquestia.com/demo</w:t>
      </w:r>
    </w:p>
    <w:p>
      <w:r>
        <w:br w:type="page"/>
      </w:r>
    </w:p>
    <w:p>
      <w:pPr>
        <w:spacing w:after="480" w:before="480"/>
      </w:pPr>
      <w:r>
        <w:rPr>
          <w:rFonts w:ascii="Calibri" w:cs="Calibri" w:eastAsia="Calibri" w:hAnsi="Calibri"/>
          <w:b/>
          <w:bCs/>
          <w:color w:val="0F1A2E"/>
          <w:sz w:val="40"/>
          <w:szCs w:val="40"/>
        </w:rPr>
        <w:t xml:space="preserve">À propos de Questia</w:t>
      </w:r>
    </w:p>
    <w:p>
      <w:pPr>
        <w:spacing w:after="120" w:before="0" w:line="300"/>
        <w:jc w:val="both"/>
      </w:pPr>
      <w:r>
        <w:rPr>
          <w:rFonts w:ascii="Calibri" w:cs="Calibri" w:eastAsia="Calibri" w:hAnsi="Calibri"/>
          <w:b w:val="false"/>
          <w:bCs w:val="false"/>
          <w:i w:val="false"/>
          <w:iCs w:val="false"/>
          <w:color w:val="1A1A1A"/>
          <w:sz w:val="22"/>
          <w:szCs w:val="22"/>
        </w:rPr>
        <w:t xml:space="preserve">Questia est une plateforme française de simulation immersive B2B qui forme les professionnels à parler la langue et lire la culture de leurs marchés cibles. Elle s'adresse aux formateurs indépendants Qualiopi, aux organismes de formation, aux écoles supérieures de commerce et aux entreprises en croissance internationale.</w:t>
      </w:r>
    </w:p>
    <w:p>
      <w:pPr>
        <w:spacing w:after="120" w:before="0" w:line="300"/>
        <w:jc w:val="both"/>
      </w:pPr>
      <w:r>
        <w:rPr>
          <w:rFonts w:ascii="Calibri" w:cs="Calibri" w:eastAsia="Calibri" w:hAnsi="Calibri"/>
          <w:b w:val="false"/>
          <w:bCs w:val="false"/>
          <w:i w:val="false"/>
          <w:iCs w:val="false"/>
          <w:color w:val="1A1A1A"/>
          <w:sz w:val="22"/>
          <w:szCs w:val="22"/>
        </w:rPr>
        <w:t xml:space="preserve">Notre vision : apprendre une langue et les codes culturels business comme on vit une mission immersive.</w:t>
      </w:r>
    </w:p>
    <w:p>
      <w:pPr>
        <w:spacing w:after="120" w:before="0" w:line="300"/>
        <w:jc w:val="both"/>
      </w:pPr>
      <w:r>
        <w:rPr>
          <w:rFonts w:ascii="Calibri" w:cs="Calibri" w:eastAsia="Calibri" w:hAnsi="Calibri"/>
          <w:b w:val="false"/>
          <w:bCs w:val="false"/>
          <w:i w:val="false"/>
          <w:iCs w:val="false"/>
          <w:color w:val="1A1A1A"/>
          <w:sz w:val="22"/>
          <w:szCs w:val="22"/>
        </w:rPr>
        <w:t xml:space="preserve">Notre raison d'être : que plus aucun talent ne soit limité par la langue ou la culture dans laquelle il travaille.</w:t>
      </w:r>
    </w:p>
    <w:p>
      <w:pPr>
        <w:pStyle w:val="Heading3"/>
        <w:spacing w:after="120" w:before="240"/>
      </w:pPr>
      <w:r>
        <w:rPr>
          <w:rFonts w:ascii="Calibri" w:cs="Calibri" w:eastAsia="Calibri" w:hAnsi="Calibri"/>
          <w:b/>
          <w:bCs/>
          <w:color w:val="2A3A55"/>
          <w:sz w:val="24"/>
          <w:szCs w:val="24"/>
        </w:rPr>
        <w:t xml:space="preserve">L'équipe</w:t>
      </w:r>
    </w:p>
    <w:p>
      <w:pPr>
        <w:spacing w:after="120" w:before="0" w:line="300"/>
        <w:jc w:val="both"/>
      </w:pPr>
      <w:r>
        <w:rPr>
          <w:rFonts w:ascii="Calibri" w:cs="Calibri" w:eastAsia="Calibri" w:hAnsi="Calibri"/>
          <w:b w:val="false"/>
          <w:bCs w:val="false"/>
          <w:i w:val="false"/>
          <w:iCs w:val="false"/>
          <w:color w:val="1A1A1A"/>
          <w:sz w:val="22"/>
          <w:szCs w:val="22"/>
        </w:rPr>
        <w:t xml:space="preserve">Huit talents complémentaires couvrant le développement commercial, la croissance, le support client et la pédagogie. Méthode lean, trois pivots structurants en cinq jours lors de notre passage en hackathon. MVP multi-joueur fonctionnel, infrastructure Firebase, intégration en cours avec les principaux systèmes d'apprentissage du marché.</w:t>
      </w:r>
    </w:p>
    <w:p>
      <w:pPr>
        <w:pStyle w:val="Heading3"/>
        <w:spacing w:after="120" w:before="240"/>
      </w:pPr>
      <w:r>
        <w:rPr>
          <w:rFonts w:ascii="Calibri" w:cs="Calibri" w:eastAsia="Calibri" w:hAnsi="Calibri"/>
          <w:b/>
          <w:bCs/>
          <w:color w:val="2A3A55"/>
          <w:sz w:val="24"/>
          <w:szCs w:val="24"/>
        </w:rPr>
        <w:t xml:space="preserve">Notre conformité</w:t>
      </w:r>
    </w:p>
    <w:p>
      <w:pPr>
        <w:spacing w:after="120" w:before="0" w:line="300"/>
        <w:jc w:val="both"/>
      </w:pPr>
      <w:r>
        <w:rPr>
          <w:rFonts w:ascii="Calibri" w:cs="Calibri" w:eastAsia="Calibri" w:hAnsi="Calibri"/>
          <w:b w:val="false"/>
          <w:bCs w:val="false"/>
          <w:i w:val="false"/>
          <w:iCs w:val="false"/>
          <w:color w:val="1A1A1A"/>
          <w:sz w:val="22"/>
          <w:szCs w:val="22"/>
        </w:rPr>
        <w:t xml:space="preserve">Questia est conçue dès l'origine pour la conformité européenne. Hébergement souverain en Union Européenne. Respect intégral du Règlement général sur la protection des données. Préparation à la loi AI Act qui entrera en vigueur en août 2026. Engagement contractuel de ne jamais utiliser les productions des apprenants pour entraîner nos modèles.</w:t>
      </w:r>
    </w:p>
    <w:p>
      <w:pPr>
        <w:pStyle w:val="Heading3"/>
        <w:spacing w:after="120" w:before="240"/>
      </w:pPr>
      <w:r>
        <w:rPr>
          <w:rFonts w:ascii="Calibri" w:cs="Calibri" w:eastAsia="Calibri" w:hAnsi="Calibri"/>
          <w:b/>
          <w:bCs/>
          <w:color w:val="2A3A55"/>
          <w:sz w:val="24"/>
          <w:szCs w:val="24"/>
        </w:rPr>
        <w:t xml:space="preserve">Nous contacter</w:t>
      </w:r>
    </w:p>
    <w:p>
      <w:pPr>
        <w:spacing w:after="120" w:before="0" w:line="300"/>
        <w:jc w:val="both"/>
      </w:pPr>
      <w:r>
        <w:rPr>
          <w:rFonts w:ascii="Calibri" w:cs="Calibri" w:eastAsia="Calibri" w:hAnsi="Calibri"/>
          <w:b w:val="false"/>
          <w:bCs w:val="false"/>
          <w:i w:val="false"/>
          <w:iCs w:val="false"/>
          <w:color w:val="1A1A1A"/>
          <w:sz w:val="22"/>
          <w:szCs w:val="22"/>
        </w:rPr>
        <w:t xml:space="preserve">Pour une démonstration produit, un diagnostic de votre dispositif actuel, ou simplement un échange sur les enjeux que nous avons abordés dans ce livre blanc, nous vous répondons sous quarante-huit heures.</w:t>
      </w:r>
    </w:p>
    <w:p>
      <w:pPr>
        <w:spacing w:after="120" w:before="480"/>
      </w:pPr>
      <w:r>
        <w:rPr>
          <w:rFonts w:ascii="Calibri" w:cs="Calibri" w:eastAsia="Calibri" w:hAnsi="Calibri"/>
          <w:b/>
          <w:bCs/>
          <w:color w:val="B8794B"/>
          <w:spacing w:val="60"/>
          <w:sz w:val="22"/>
          <w:szCs w:val="22"/>
        </w:rPr>
        <w:t xml:space="preserve">Contact</w:t>
      </w:r>
    </w:p>
    <w:p>
      <w:pPr>
        <w:spacing w:after="120" w:before="0" w:line="300"/>
        <w:jc w:val="both"/>
      </w:pPr>
      <w:r>
        <w:rPr>
          <w:rFonts w:ascii="Calibri" w:cs="Calibri" w:eastAsia="Calibri" w:hAnsi="Calibri"/>
          <w:b w:val="false"/>
          <w:bCs w:val="false"/>
          <w:i w:val="false"/>
          <w:iCs w:val="false"/>
          <w:color w:val="1A1A1A"/>
          <w:sz w:val="22"/>
          <w:szCs w:val="22"/>
        </w:rPr>
        <w:t xml:space="preserve">projetquestia@gmail.com</w:t>
      </w:r>
    </w:p>
    <w:p>
      <w:pPr>
        <w:spacing w:after="120" w:before="0" w:line="300"/>
        <w:jc w:val="both"/>
      </w:pPr>
      <w:r>
        <w:rPr>
          <w:rFonts w:ascii="Calibri" w:cs="Calibri" w:eastAsia="Calibri" w:hAnsi="Calibri"/>
          <w:b w:val="false"/>
          <w:bCs w:val="false"/>
          <w:i w:val="false"/>
          <w:iCs w:val="false"/>
          <w:color w:val="1A1A1A"/>
          <w:sz w:val="22"/>
          <w:szCs w:val="22"/>
        </w:rPr>
        <w:t xml:space="preserve">WhatsApp Pro · +44 7546 082186</w:t>
      </w:r>
    </w:p>
    <w:p>
      <w:pPr>
        <w:spacing w:after="120" w:before="0" w:line="300"/>
        <w:jc w:val="both"/>
      </w:pPr>
      <w:r>
        <w:rPr>
          <w:rFonts w:ascii="Calibri" w:cs="Calibri" w:eastAsia="Calibri" w:hAnsi="Calibri"/>
          <w:b w:val="false"/>
          <w:bCs w:val="false"/>
          <w:i w:val="false"/>
          <w:iCs w:val="false"/>
          <w:color w:val="1A1A1A"/>
          <w:sz w:val="22"/>
          <w:szCs w:val="22"/>
        </w:rPr>
        <w:t xml:space="preserve">projetquestia.com</w:t>
      </w:r>
    </w:p>
    <w:p>
      <w:pPr>
        <w:spacing w:after="120" w:before="0" w:line="300"/>
        <w:jc w:val="both"/>
      </w:pPr>
      <w:r>
        <w:rPr>
          <w:rFonts w:ascii="Calibri" w:cs="Calibri" w:eastAsia="Calibri" w:hAnsi="Calibri"/>
          <w:b w:val="false"/>
          <w:bCs w:val="false"/>
          <w:i w:val="false"/>
          <w:iCs w:val="false"/>
          <w:color w:val="1A1A1A"/>
          <w:sz w:val="22"/>
          <w:szCs w:val="22"/>
        </w:rPr>
        <w:t xml:space="preserve">Paris · Madrid · Londres</w:t>
      </w:r>
    </w:p>
    <w:p>
      <w:pPr>
        <w:spacing w:after="120" w:before="1200"/>
        <w:jc w:val="center"/>
      </w:pPr>
      <w:r>
        <w:rPr>
          <w:rFonts w:ascii="Calibri" w:cs="Calibri" w:eastAsia="Calibri" w:hAnsi="Calibri"/>
          <w:color w:val="6B7280"/>
          <w:sz w:val="18"/>
          <w:szCs w:val="18"/>
        </w:rPr>
        <w:t xml:space="preserve">© 2026 Questia · Tous droits réservés</w:t>
      </w:r>
      <w:r>
        <w:br/>
        <w:t xml:space="preserve"/>
      </w:r>
      <w:r>
        <w:rPr>
          <w:rFonts w:ascii="Calibri" w:cs="Calibri" w:eastAsia="Calibri" w:hAnsi="Calibri"/>
          <w:i/>
          <w:iCs/>
          <w:color w:val="6B7280"/>
          <w:sz w:val="16"/>
          <w:szCs w:val="16"/>
        </w:rPr>
        <w:t xml:space="preserve">Ce livre blanc peut être partagé librement à condition de citer la source.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Édition 2026 ·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pacing w:val="40"/>
        <w:sz w:val="16"/>
        <w:szCs w:val="16"/>
      </w:rPr>
      <w:t xml:space="preserve">QUESTIA · LE COÛT CACHÉ DE LA CÉCITÉ CULTURELLE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F1A2E"/>
      <w:sz w:val="40"/>
      <w:szCs w:val="40"/>
    </w:rPr>
  </w:style>
  <w:style w:type="paragraph" w:styleId="Heading2">
    <w:name w:val="Heading 2"/>
    <w:basedOn w:val="Normal"/>
    <w:next w:val="Normal"/>
    <w:qFormat/>
    <w:pPr>
      <w:spacing w:after="180" w:before="240"/>
      <w:outlineLvl w:val="1"/>
    </w:pPr>
    <w:rPr>
      <w:rFonts w:ascii="Calibri" w:cs="Calibri" w:eastAsia="Calibri" w:hAnsi="Calibri"/>
      <w:b/>
      <w:bCs/>
      <w:color w:val="0F1A2E"/>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2A3A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coût caché de la cécité culturelle</dc:title>
  <dc:creator>Questia</dc:creator>
  <dc:description>Livre blanc Questia — Édition 2026</dc:description>
  <cp:lastModifiedBy>Un-named</cp:lastModifiedBy>
  <cp:revision>1</cp:revision>
  <dcterms:created xsi:type="dcterms:W3CDTF">2026-05-19T17:10:11.850Z</dcterms:created>
  <dcterms:modified xsi:type="dcterms:W3CDTF">2026-05-19T17:10:11.851Z</dcterms:modified>
</cp:coreProperties>
</file>

<file path=docProps/custom.xml><?xml version="1.0" encoding="utf-8"?>
<Properties xmlns="http://schemas.openxmlformats.org/officeDocument/2006/custom-properties" xmlns:vt="http://schemas.openxmlformats.org/officeDocument/2006/docPropsVTypes"/>
</file>