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66.png" ContentType="image/png"/>
  <Override PartName="/word/media/rId84.png" ContentType="image/png"/>
  <Override PartName="/word/media/rId79.png" ContentType="image/png"/>
  <Override PartName="/word/media/rId7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</w:t>
      </w:r>
      <w:r>
        <w:t xml:space="preserve"> </w:t>
      </w:r>
      <w:r>
        <w:t xml:space="preserve">si</w:t>
      </w:r>
      <w:r>
        <w:t xml:space="preserve"> </w:t>
      </w:r>
      <w:r>
        <w:t xml:space="preserve">Parcoursup</w:t>
      </w:r>
      <w:r>
        <w:t xml:space="preserve"> </w:t>
      </w:r>
      <w:r>
        <w:t xml:space="preserve">était</w:t>
      </w:r>
      <w:r>
        <w:t xml:space="preserve"> </w:t>
      </w:r>
      <w:r>
        <w:t xml:space="preserve">compté</w:t>
      </w:r>
    </w:p>
    <w:p>
      <w:pPr>
        <w:pStyle w:val="Author"/>
      </w:pPr>
      <w:r>
        <w:t xml:space="preserve">Pauline</w:t>
      </w:r>
      <w:r>
        <w:t xml:space="preserve"> </w:t>
      </w:r>
      <w:r>
        <w:t xml:space="preserve">Boyer,</w:t>
      </w:r>
      <w:r>
        <w:t xml:space="preserve"> </w:t>
      </w:r>
      <w:hyperlink r:id="rId20">
        <w:r>
          <w:rPr>
            <w:rStyle w:val="Hyperlink"/>
          </w:rPr>
          <w:t xml:space="preserve">pauline.boyer@cnrs.fr</w:t>
        </w:r>
      </w:hyperlink>
    </w:p>
    <w:p>
      <w:pPr>
        <w:pStyle w:val="Author"/>
      </w:pPr>
      <w:r>
        <w:t xml:space="preserve">Julien</w:t>
      </w:r>
      <w:r>
        <w:t xml:space="preserve"> </w:t>
      </w:r>
      <w:r>
        <w:t xml:space="preserve">Gossa,</w:t>
      </w:r>
      <w:r>
        <w:t xml:space="preserve"> </w:t>
      </w:r>
      <w:hyperlink r:id="rId21">
        <w:r>
          <w:rPr>
            <w:rStyle w:val="Hyperlink"/>
          </w:rPr>
          <w:t xml:space="preserve">gossa@unistra.fr</w:t>
        </w:r>
      </w:hyperlink>
    </w:p>
    <w:p>
      <w:pPr>
        <w:pStyle w:val="Author"/>
      </w:pPr>
      <w:r>
        <w:t xml:space="preserve">Université</w:t>
      </w:r>
      <w:r>
        <w:t xml:space="preserve"> </w:t>
      </w:r>
      <w:r>
        <w:t xml:space="preserve">de</w:t>
      </w:r>
      <w:r>
        <w:t xml:space="preserve"> </w:t>
      </w:r>
      <w:r>
        <w:t xml:space="preserve">Strasbourg</w:t>
      </w:r>
    </w:p>
    <w:p>
      <w:pPr>
        <w:pStyle w:val="FirstParagraph"/>
      </w:pPr>
      <w:r>
        <w:t xml:space="preserve">Projet d’article pour « Orientation post-bac : Parcoursup et l’introduction de la sélection à l’université – Varia (72/juin 2024) ».</w:t>
      </w:r>
    </w:p>
    <w:p>
      <w:pPr>
        <w:pStyle w:val="BodyText"/>
      </w:pPr>
      <w:r>
        <w:t xml:space="preserve">Axes : transversal.</w:t>
      </w:r>
    </w:p>
    <w:bookmarkStart w:id="26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Remplaçant APB (Admission Post-Bac) en 2018, Parcoursup est désormais la plateforme</w:t>
      </w:r>
      <w:r>
        <w:t xml:space="preserve"> </w:t>
      </w:r>
      <w:r>
        <w:t xml:space="preserve">d’affectation des candidates et candidats à l’entrée dans l’enseignement supérieur</w:t>
      </w:r>
      <w:r>
        <w:t xml:space="preserve"> </w:t>
      </w:r>
      <w:r>
        <w:t xml:space="preserve">en France. De prime abord, la différence entre APB et Parcoursup tient surtout</w:t>
      </w:r>
      <w:r>
        <w:t xml:space="preserve"> </w:t>
      </w:r>
      <w:r>
        <w:t xml:space="preserve">à l’organisation globale de la procédure, la façon dont les candidatures sont</w:t>
      </w:r>
      <w:r>
        <w:t xml:space="preserve"> </w:t>
      </w:r>
      <w:r>
        <w:t xml:space="preserve">formulées et les propositions retenues, ainsi que les informations disponibles pour faire</w:t>
      </w:r>
      <w:r>
        <w:t xml:space="preserve"> </w:t>
      </w:r>
      <w:r>
        <w:t xml:space="preserve">ces choix. Si l’algorithme d’affectation est toujours Gale-Shapley,</w:t>
      </w:r>
      <w:r>
        <w:t xml:space="preserve"> </w:t>
      </w:r>
      <w:r>
        <w:t xml:space="preserve">la façon dont les différents acteurs appréhendent ce moment est transformé</w:t>
      </w:r>
      <w:r>
        <w:t xml:space="preserve"> </w:t>
      </w:r>
      <w:r>
        <w:t xml:space="preserve">(Bodin, Mengneau, and Orange 2020 ; Bodin and Orange 2019 ; Daverne-Bailly and Bobineau 2020 ; Mizzi 2022 ; Frouillou, Pin, and Zanten 2019 ; Frouillou, Pin, and Zanten 2020 ; Chauvel and Hugrée 2019 )</w:t>
      </w:r>
      <w:r>
        <w:t xml:space="preserve">,</w:t>
      </w:r>
      <w:r>
        <w:t xml:space="preserve"> </w:t>
      </w:r>
      <w:r>
        <w:t xml:space="preserve">encore plus après la réforme du Lycée général</w:t>
      </w:r>
      <w:r>
        <w:t xml:space="preserve"> </w:t>
      </w:r>
      <w:r>
        <w:t xml:space="preserve">(Caillot and Sidokpohou 2022)</w:t>
      </w:r>
      <w:r>
        <w:t xml:space="preserve">.</w:t>
      </w:r>
    </w:p>
    <w:p>
      <w:pPr>
        <w:pStyle w:val="BodyText"/>
      </w:pPr>
      <w:r>
        <w:t xml:space="preserve">Plus globalement, Parcoursup est aussi le synonyme de transformations dans la</w:t>
      </w:r>
      <w:r>
        <w:t xml:space="preserve"> </w:t>
      </w:r>
      <w:r>
        <w:t xml:space="preserve">répartition des néo-bacheliers dans l’enseignement supérieur</w:t>
      </w:r>
      <w:r>
        <w:t xml:space="preserve"> </w:t>
      </w:r>
      <w:r>
        <w:t xml:space="preserve">(Nagui Bechichi, Julien Grenet, and Georgia Thebault 2021)</w:t>
      </w:r>
      <w:r>
        <w:t xml:space="preserve">.</w:t>
      </w:r>
      <w:r>
        <w:t xml:space="preserve"> </w:t>
      </w:r>
      <w:r>
        <w:t xml:space="preserve">La plateforme est introduite par la loi ORE (Orientation et Réussite des Etudiants),</w:t>
      </w:r>
      <w:r>
        <w:t xml:space="preserve"> </w:t>
      </w:r>
      <w:r>
        <w:t xml:space="preserve">conçue pour faire face au problème des places dans l’enseignement supérieur mais</w:t>
      </w:r>
      <w:r>
        <w:t xml:space="preserve"> </w:t>
      </w:r>
      <w:r>
        <w:t xml:space="preserve">qui ouvre plus de questions qu’elle n’en ferme</w:t>
      </w:r>
      <w:r>
        <w:t xml:space="preserve"> </w:t>
      </w:r>
      <w:r>
        <w:t xml:space="preserve">(Beaud and Vatin 2018)</w:t>
      </w:r>
      <w:r>
        <w:t xml:space="preserve">.</w:t>
      </w:r>
      <w:r>
        <w:t xml:space="preserve"> </w:t>
      </w:r>
      <w:r>
        <w:t xml:space="preserve">Elle dispose de deux transformations majeures.</w:t>
      </w:r>
    </w:p>
    <w:p>
      <w:pPr>
        <w:pStyle w:val="BodyText"/>
      </w:pPr>
      <w:r>
        <w:t xml:space="preserve">La première est la suppression de la phrase «</w:t>
      </w:r>
      <w:r>
        <w:t xml:space="preserve"> </w:t>
      </w:r>
      <w:r>
        <w:rPr>
          <w:iCs/>
          <w:i/>
        </w:rPr>
        <w:t xml:space="preserve">Tout candidat est libre de s’inscrire</w:t>
      </w:r>
      <w:r>
        <w:rPr>
          <w:iCs/>
          <w:i/>
        </w:rPr>
        <w:t xml:space="preserve"> </w:t>
      </w:r>
      <w:r>
        <w:rPr>
          <w:iCs/>
          <w:i/>
        </w:rPr>
        <w:t xml:space="preserve">dans l’établissement de son choix</w:t>
      </w:r>
      <w:r>
        <w:t xml:space="preserve"> </w:t>
      </w:r>
      <w:r>
        <w:t xml:space="preserve">» du L612-3 du Code de l’éducation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.</w:t>
      </w:r>
      <w:r>
        <w:t xml:space="preserve"> </w:t>
      </w:r>
      <w:r>
        <w:t xml:space="preserve">Cette suppression abaisse le poids des candidats dans les décisions d’affectation,</w:t>
      </w:r>
      <w:r>
        <w:t xml:space="preserve"> </w:t>
      </w:r>
      <w:r>
        <w:t xml:space="preserve">puisque l’entrée en Licence n’est plus de droit mais désormais conditionnée par</w:t>
      </w:r>
      <w:r>
        <w:t xml:space="preserve"> </w:t>
      </w:r>
      <w:r>
        <w:t xml:space="preserve">l’étude d’un dossier de candidature.</w:t>
      </w:r>
    </w:p>
    <w:p>
      <w:pPr>
        <w:pStyle w:val="BodyText"/>
      </w:pPr>
      <w:r>
        <w:t xml:space="preserve">La seconde est l’introduction, dans le même article, de la phrase :</w:t>
      </w:r>
      <w:r>
        <w:t xml:space="preserve"> </w:t>
      </w:r>
      <w:r>
        <w:t xml:space="preserve">«</w:t>
      </w:r>
      <w:r>
        <w:t xml:space="preserve"> </w:t>
      </w:r>
      <w:r>
        <w:rPr>
          <w:iCs/>
          <w:i/>
        </w:rPr>
        <w:t xml:space="preserve">Les capacités d’accueil […] sont arrêtées chaque année par</w:t>
      </w:r>
      <w:r>
        <w:rPr>
          <w:iCs/>
          <w:i/>
        </w:rPr>
        <w:t xml:space="preserve"> </w:t>
      </w:r>
      <w:r>
        <w:rPr>
          <w:iCs/>
          <w:i/>
        </w:rPr>
        <w:t xml:space="preserve">l’autorité académique après dialogue avec chaque établissement.</w:t>
      </w:r>
      <w:r>
        <w:t xml:space="preserve"> </w:t>
      </w:r>
      <w:r>
        <w:t xml:space="preserve">». L’autorité</w:t>
      </w:r>
      <w:r>
        <w:t xml:space="preserve"> </w:t>
      </w:r>
      <w:r>
        <w:t xml:space="preserve">académique désigne le rectorat, représentant de l’État dans les académies.</w:t>
      </w:r>
      <w:r>
        <w:t xml:space="preserve"> </w:t>
      </w:r>
      <w:r>
        <w:t xml:space="preserve">Cet ajout abaisse le poids des établissements dans les décisions d’affection,</w:t>
      </w:r>
      <w:r>
        <w:t xml:space="preserve"> </w:t>
      </w:r>
      <w:r>
        <w:t xml:space="preserve">puisqu’ils n’obtiennent pas le contrôle sur les capacités d’accueil en Licence,</w:t>
      </w:r>
      <w:r>
        <w:t xml:space="preserve"> </w:t>
      </w:r>
      <w:r>
        <w:t xml:space="preserve">mais en plus le perdent pour les formations sélectives (IUT et double Licences, notamment).</w:t>
      </w:r>
    </w:p>
    <w:p>
      <w:pPr>
        <w:pStyle w:val="BodyText"/>
      </w:pPr>
      <w:r>
        <w:t xml:space="preserve">Au delà de l’impact sur les familles et équipes pédagogique, et comme en témoigne</w:t>
      </w:r>
      <w:r>
        <w:t xml:space="preserve"> </w:t>
      </w:r>
      <w:r>
        <w:t xml:space="preserve">le nombre de rapports publics à son sujet</w:t>
      </w:r>
      <w:r>
        <w:t xml:space="preserve"> </w:t>
      </w:r>
      <w:r>
        <w:t xml:space="preserve">(Cour des comptes 2017 ; Cour des Comptes 2020 ; Noëlle Lenoir, présidente et al. 2019 ; Isabelle Falque-Pierrotin et al. 2020 ; Isabelle Falque-Pierrotin et al. 2021 ; Isabelle Falque-Pierrotin, présidente et al. 2022 ; Juanico and Sarles 2020 ; CSORE 2019 )</w:t>
      </w:r>
      <w:r>
        <w:t xml:space="preserve">,</w:t>
      </w:r>
      <w:r>
        <w:t xml:space="preserve"> </w:t>
      </w:r>
      <w:r>
        <w:t xml:space="preserve">Parcoursup est donc</w:t>
      </w:r>
      <w:r>
        <w:t xml:space="preserve"> </w:t>
      </w:r>
      <w:r>
        <w:t xml:space="preserve">aussi un outil d’action publique, permettant à l’État de mieux contrôler les flux</w:t>
      </w:r>
      <w:r>
        <w:t xml:space="preserve"> </w:t>
      </w:r>
      <w:r>
        <w:t xml:space="preserve">du « -3/+3 » notamment via leur évaluation par des indicateurs consultables librement sur la plateforme ministérielle #dataESR</w:t>
      </w:r>
      <w:r>
        <w:rPr>
          <w:rStyle w:val="FootnoteReference"/>
        </w:rPr>
        <w:footnoteReference w:id="24"/>
      </w:r>
      <w:r>
        <w:t xml:space="preserve">.</w:t>
      </w:r>
      <w:r>
        <w:t xml:space="preserve"> </w:t>
      </w:r>
      <w:r>
        <w:t xml:space="preserve">Dans le prolongement des travaux en sociologie de la quantification, ce projet</w:t>
      </w:r>
      <w:r>
        <w:t xml:space="preserve"> </w:t>
      </w:r>
      <w:r>
        <w:t xml:space="preserve">d’article propose de s’intéresser à ce que les indicateurs #dataESR nous disent</w:t>
      </w:r>
      <w:r>
        <w:t xml:space="preserve"> </w:t>
      </w:r>
      <w:r>
        <w:t xml:space="preserve">des orientations des politiques publiques d’affectation post-bac, ce qui sera</w:t>
      </w:r>
      <w:r>
        <w:t xml:space="preserve"> </w:t>
      </w:r>
      <w:r>
        <w:t xml:space="preserve">l’occasion de montrer le passage d’une logique de satisfaction des usagers à une</w:t>
      </w:r>
      <w:r>
        <w:t xml:space="preserve"> </w:t>
      </w:r>
      <w:r>
        <w:t xml:space="preserve">logique de gestion des flux.</w:t>
      </w:r>
      <w:r>
        <w:t xml:space="preserve"> </w:t>
      </w:r>
      <w:r>
        <w:t xml:space="preserve">Lorsque c’est pertinent, nous tenterons d’opposer une rationalité différente de celle</w:t>
      </w:r>
      <w:r>
        <w:t xml:space="preserve"> </w:t>
      </w:r>
      <w:r>
        <w:t xml:space="preserve">des indicateurs officiels via la conception d’indicateurs alternatifs basés sur l’exploration des</w:t>
      </w:r>
      <w:r>
        <w:t xml:space="preserve"> </w:t>
      </w:r>
      <w:r>
        <w:t xml:space="preserve">données ouvertes.</w:t>
      </w:r>
      <w:r>
        <w:t xml:space="preserve"> </w:t>
      </w:r>
      <w:r>
        <w:t xml:space="preserve">Enfin, nous proposons de montrer la difficulté de construire des indicateurs fiables,</w:t>
      </w:r>
      <w:r>
        <w:t xml:space="preserve"> </w:t>
      </w:r>
      <w:r>
        <w:t xml:space="preserve">et la possibilité presque systématique de « raconter des histoires différentes »</w:t>
      </w:r>
      <w:r>
        <w:t xml:space="preserve"> </w:t>
      </w:r>
      <w:r>
        <w:t xml:space="preserve">à partir des mêmes données.</w:t>
      </w:r>
    </w:p>
    <w:p>
      <w:pPr>
        <w:pStyle w:val="BodyText"/>
      </w:pPr>
      <w:r>
        <w:rPr>
          <w:iCs/>
          <w:i/>
        </w:rPr>
        <w:t xml:space="preserve">Note</w:t>
      </w:r>
      <w:r>
        <w:t xml:space="preserve"> </w:t>
      </w:r>
      <w:r>
        <w:t xml:space="preserve">: En discussion avec les éditeurs, l’article peut faire plus ou moins de</w:t>
      </w:r>
      <w:r>
        <w:t xml:space="preserve"> </w:t>
      </w:r>
      <w:r>
        <w:t xml:space="preserve">place à chacun des aspects ci-dessus, ou se concentrer sur certaines questions</w:t>
      </w:r>
      <w:r>
        <w:t xml:space="preserve"> </w:t>
      </w:r>
      <w:r>
        <w:t xml:space="preserve">plus précises.</w:t>
      </w:r>
      <w:r>
        <w:t xml:space="preserve"> </w:t>
      </w:r>
      <w:r>
        <w:t xml:space="preserve">L’article peut être écrit en écriture inclusive, avec ou sans utilisation du</w:t>
      </w:r>
      <w:r>
        <w:t xml:space="preserve"> </w:t>
      </w:r>
      <w:r>
        <w:t xml:space="preserve">point médian.</w:t>
      </w:r>
    </w:p>
    <w:bookmarkEnd w:id="26"/>
    <w:bookmarkStart w:id="43" w:name="méthodologie"/>
    <w:p>
      <w:pPr>
        <w:pStyle w:val="Heading2"/>
      </w:pPr>
      <w:r>
        <w:t xml:space="preserve">Méthodologie</w:t>
      </w:r>
    </w:p>
    <w:p>
      <w:pPr>
        <w:pStyle w:val="FirstParagraph"/>
      </w:pPr>
      <w:r>
        <w:t xml:space="preserve">Notre méthodologie se situe au croisement des sciences des données et des sciences</w:t>
      </w:r>
      <w:r>
        <w:t xml:space="preserve"> </w:t>
      </w:r>
      <w:r>
        <w:t xml:space="preserve">de l’action publique. Elle s’appuie sur deux piliers. D’une part, une veille systématique</w:t>
      </w:r>
      <w:r>
        <w:t xml:space="preserve"> </w:t>
      </w:r>
      <w:r>
        <w:t xml:space="preserve">des données ouvertes, tableaux de bord, notes d’information et communiqués permet de</w:t>
      </w:r>
      <w:r>
        <w:t xml:space="preserve"> </w:t>
      </w:r>
      <w:r>
        <w:t xml:space="preserve">construire un état de l’art des informations publiques disponibles sur l’affectation</w:t>
      </w:r>
      <w:r>
        <w:t xml:space="preserve"> </w:t>
      </w:r>
      <w:r>
        <w:t xml:space="preserve">post-bac, ce qu’on pourrait qualifier de meta-informations.</w:t>
      </w:r>
      <w:r>
        <w:t xml:space="preserve"> </w:t>
      </w:r>
      <w:r>
        <w:t xml:space="preserve">D’autre part, l’analyse de ces données, par des traitements et représentations</w:t>
      </w:r>
      <w:r>
        <w:t xml:space="preserve"> </w:t>
      </w:r>
      <w:r>
        <w:t xml:space="preserve">en sources ouvertes, permet de créer de l’information nouvelle pour mieux percevoir</w:t>
      </w:r>
      <w:r>
        <w:t xml:space="preserve"> </w:t>
      </w:r>
      <w:r>
        <w:t xml:space="preserve">et suivre l’évolution de notre système.</w:t>
      </w:r>
    </w:p>
    <w:p>
      <w:pPr>
        <w:pStyle w:val="BodyText"/>
      </w:pPr>
      <w:r>
        <w:t xml:space="preserve">Les données proviennent pour l’essentiel de la plateforme</w:t>
      </w:r>
      <w:r>
        <w:t xml:space="preserve"> </w:t>
      </w:r>
      <w:r>
        <w:t xml:space="preserve">de données ouvertes du ministère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 </w:t>
      </w:r>
      <w:r>
        <w:rPr>
          <w:rStyle w:val="FootnoteReference"/>
        </w:rPr>
        <w:footnoteReference w:id="29"/>
      </w:r>
      <w:r>
        <w:t xml:space="preserve"> </w:t>
      </w:r>
      <w:r>
        <w:rPr>
          <w:rStyle w:val="FootnoteReference"/>
        </w:rPr>
        <w:footnoteReference w:id="31"/>
      </w:r>
      <w:r>
        <w:t xml:space="preserve"> </w:t>
      </w:r>
      <w:r>
        <w:rPr>
          <w:rStyle w:val="FootnoteReference"/>
        </w:rPr>
        <w:footnoteReference w:id="33"/>
      </w:r>
      <w:r>
        <w:t xml:space="preserve"> </w:t>
      </w:r>
      <w:r>
        <w:rPr>
          <w:rStyle w:val="FootnoteReference"/>
        </w:rPr>
        <w:footnoteReference w:id="35"/>
      </w:r>
      <w:r>
        <w:t xml:space="preserve"> </w:t>
      </w:r>
      <w:r>
        <w:rPr>
          <w:rStyle w:val="FootnoteReference"/>
        </w:rPr>
        <w:footnoteReference w:id="37"/>
      </w:r>
      <w:r>
        <w:t xml:space="preserve">,</w:t>
      </w:r>
      <w:r>
        <w:t xml:space="preserve"> </w:t>
      </w:r>
      <w:r>
        <w:t xml:space="preserve">également utilisée pour alimenter Parcoursup,</w:t>
      </w:r>
      <w:r>
        <w:t xml:space="preserve"> </w:t>
      </w:r>
      <w:r>
        <w:t xml:space="preserve">ses tableaux de bord, et les notes d’information du ministère.</w:t>
      </w:r>
      <w:r>
        <w:t xml:space="preserve"> </w:t>
      </w:r>
      <w:r>
        <w:t xml:space="preserve">Les traitements sont effectués en R</w:t>
      </w:r>
      <w:r>
        <w:t xml:space="preserve"> </w:t>
      </w:r>
      <w:r>
        <w:t xml:space="preserve">(Xie, Allaire, and Grolemund 2019)</w:t>
      </w:r>
      <w:r>
        <w:t xml:space="preserve"> </w:t>
      </w:r>
      <w:r>
        <w:t xml:space="preserve">et les représentations en ggplot</w:t>
      </w:r>
      <w:r>
        <w:t xml:space="preserve"> </w:t>
      </w:r>
      <w:r>
        <w:t xml:space="preserve">(Wickham 2009 ; Wilke 2019)</w:t>
      </w:r>
      <w:r>
        <w:t xml:space="preserve">.</w:t>
      </w:r>
      <w:r>
        <w:t xml:space="preserve"> </w:t>
      </w:r>
      <w:r>
        <w:t xml:space="preserve">Ils sont mis en ligne et librement accessibles sur la</w:t>
      </w:r>
      <w:r>
        <w:t xml:space="preserve"> </w:t>
      </w:r>
      <w:r>
        <w:t xml:space="preserve">plateforme GitHub</w:t>
      </w:r>
      <w:r>
        <w:rPr>
          <w:rStyle w:val="FootnoteReference"/>
        </w:rPr>
        <w:footnoteReference w:id="39"/>
      </w:r>
      <w:r>
        <w:t xml:space="preserve">, ainsi que les brouillons exploratoires</w:t>
      </w:r>
      <w:r>
        <w:t xml:space="preserve"> </w:t>
      </w:r>
      <w:r>
        <w:rPr>
          <w:rStyle w:val="FootnoteReference"/>
        </w:rPr>
        <w:footnoteReference w:id="41"/>
      </w:r>
      <w:r>
        <w:t xml:space="preserve">. Les irrégularités ou incohérences apparentes sont systématiquement discutées publiquement sur le réseau social Twitter.</w:t>
      </w:r>
    </w:p>
    <w:p>
      <w:r>
        <w:br w:type="page"/>
      </w:r>
    </w:p>
    <w:bookmarkEnd w:id="43"/>
    <w:bookmarkStart w:id="70" w:name="mesurer-parcoursup"/>
    <w:p>
      <w:pPr>
        <w:pStyle w:val="Heading2"/>
      </w:pPr>
      <w:r>
        <w:t xml:space="preserve">Mesurer Parcoursup</w:t>
      </w:r>
    </w:p>
    <w:p>
      <w:pPr>
        <w:pStyle w:val="FirstParagraph"/>
      </w:pPr>
      <w:r>
        <w:t xml:space="preserve">Au cœur de Parcoursup, et plus largement de l’affectation dans l’enseignement supérieur,</w:t>
      </w:r>
      <w:r>
        <w:t xml:space="preserve"> </w:t>
      </w:r>
      <w:r>
        <w:t xml:space="preserve">se trouve la question de l’orientation.</w:t>
      </w:r>
      <w:r>
        <w:t xml:space="preserve"> </w:t>
      </w:r>
      <w:r>
        <w:t xml:space="preserve">Son amélioration était d’ailleurs une des grandes promesses,</w:t>
      </w:r>
      <w:r>
        <w:t xml:space="preserve"> </w:t>
      </w:r>
      <w:r>
        <w:t xml:space="preserve">inscrite jusque dans le nom de la loi ORE.</w:t>
      </w:r>
      <w:r>
        <w:t xml:space="preserve"> </w:t>
      </w:r>
      <w:r>
        <w:t xml:space="preserve">Cependant, il n’existe aucune métrique permettant de le mesurer,</w:t>
      </w:r>
      <w:r>
        <w:t xml:space="preserve"> </w:t>
      </w:r>
      <w:r>
        <w:t xml:space="preserve">tant la notion de « bonne » orientation est vague.</w:t>
      </w:r>
      <w:r>
        <w:t xml:space="preserve"> </w:t>
      </w:r>
      <w:r>
        <w:t xml:space="preserve">Même en la réduisant au taux de réussite, il est impossible de</w:t>
      </w:r>
      <w:r>
        <w:t xml:space="preserve"> </w:t>
      </w:r>
      <w:r>
        <w:t xml:space="preserve">séparer l’effet d’une meilleure orientation, de celui d’une meilleure pédagogie,</w:t>
      </w:r>
      <w:r>
        <w:t xml:space="preserve"> </w:t>
      </w:r>
      <w:r>
        <w:t xml:space="preserve">ou d’un abaissement des exigences des formations.</w:t>
      </w:r>
    </w:p>
    <w:p>
      <w:pPr>
        <w:pStyle w:val="BodyText"/>
      </w:pPr>
      <w:r>
        <w:t xml:space="preserve">Le confinement de 2020 a par exemple profondément impacté les conditions d’étude,</w:t>
      </w:r>
      <w:r>
        <w:t xml:space="preserve"> </w:t>
      </w:r>
      <w:r>
        <w:t xml:space="preserve">et donc les exigences pour l’obtention des diplômes, participant à une augmentation</w:t>
      </w:r>
      <w:r>
        <w:t xml:space="preserve"> </w:t>
      </w:r>
      <w:r>
        <w:t xml:space="preserve">des taux de réussite. Cet aspect est cependant totalement gommé dans la présentation</w:t>
      </w:r>
      <w:r>
        <w:t xml:space="preserve"> </w:t>
      </w:r>
      <w:r>
        <w:t xml:space="preserve">ministérielle, qui attribue complètement cette augmentation à la loi ORE :</w:t>
      </w:r>
    </w:p>
    <w:p>
      <w:pPr>
        <w:pStyle w:val="BodyText"/>
      </w:pPr>
      <w:r>
        <w:rPr>
          <w:iCs/>
          <w:i/>
        </w:rPr>
        <w:t xml:space="preserve">«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L’échec en licence, qui était l’un des fléaux majeurs de notre</w:t>
      </w:r>
      <w:r>
        <w:rPr>
          <w:bCs/>
          <w:b/>
          <w:iCs/>
          <w:i/>
        </w:rPr>
        <w:t xml:space="preserve"> </w:t>
      </w:r>
      <w:r>
        <w:rPr>
          <w:bCs/>
          <w:b/>
          <w:iCs/>
          <w:i/>
        </w:rPr>
        <w:t xml:space="preserve">enseignement supérieur au début du quinquennat, est enfin en train de refluer.</w:t>
      </w:r>
      <w:r>
        <w:rPr>
          <w:iCs/>
          <w:i/>
        </w:rPr>
        <w:t xml:space="preserve"> </w:t>
      </w:r>
      <w:r>
        <w:rPr>
          <w:iCs/>
          <w:i/>
        </w:rPr>
        <w:t xml:space="preserve">C’était l’un des</w:t>
      </w:r>
      <w:r>
        <w:rPr>
          <w:iCs/>
          <w:i/>
        </w:rPr>
        <w:t xml:space="preserve"> </w:t>
      </w:r>
      <w:r>
        <w:rPr>
          <w:iCs/>
          <w:i/>
        </w:rPr>
        <w:t xml:space="preserve">engagements du Plan Etudiants et il a été tenu.</w:t>
      </w:r>
      <w:r>
        <w:rPr>
          <w:iCs/>
          <w:i/>
        </w:rPr>
        <w:t xml:space="preserve"> </w:t>
      </w:r>
      <w:r>
        <w:rPr>
          <w:iCs/>
          <w:i/>
        </w:rPr>
        <w:t xml:space="preserve">C’est une victoire collective, dans une bataille qui s’est jouée sur plusieurs fronts, à commencer</w:t>
      </w:r>
      <w:r>
        <w:rPr>
          <w:iCs/>
          <w:i/>
        </w:rPr>
        <w:t xml:space="preserve"> </w:t>
      </w:r>
      <w:r>
        <w:rPr>
          <w:iCs/>
          <w:i/>
        </w:rPr>
        <w:t xml:space="preserve">par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celui de l’accès à l’enseignement supérieur.</w:t>
      </w:r>
      <w:r>
        <w:rPr>
          <w:iCs/>
          <w:i/>
        </w:rPr>
        <w:t xml:space="preserve"> </w:t>
      </w:r>
      <w:r>
        <w:rPr>
          <w:iCs/>
          <w:i/>
        </w:rPr>
        <w:t xml:space="preserve">»</w:t>
      </w:r>
      <w:r>
        <w:rPr>
          <w:rStyle w:val="FootnoteReference"/>
        </w:rPr>
        <w:footnoteReference w:id="44"/>
      </w:r>
    </w:p>
    <w:p>
      <w:pPr>
        <w:pStyle w:val="BodyText"/>
      </w:pPr>
      <w:r>
        <w:t xml:space="preserve">Cela nous conduit à nous poser la question :</w:t>
      </w:r>
      <w:r>
        <w:t xml:space="preserve"> </w:t>
      </w:r>
      <w:r>
        <w:rPr>
          <w:bCs/>
          <w:b/>
        </w:rPr>
        <w:t xml:space="preserve">Que peut-on réellement mesurer à</w:t>
      </w:r>
      <w:r>
        <w:rPr>
          <w:bCs/>
          <w:b/>
        </w:rPr>
        <w:t xml:space="preserve"> </w:t>
      </w:r>
      <w:r>
        <w:rPr>
          <w:bCs/>
          <w:b/>
        </w:rPr>
        <w:t xml:space="preserve">propos de Parcoursup ?</w:t>
      </w:r>
      <w:r>
        <w:t xml:space="preserve"> </w:t>
      </w:r>
      <w:r>
        <w:t xml:space="preserve">Dans la suite, nous discuterons des mesures de la</w:t>
      </w:r>
      <w:r>
        <w:t xml:space="preserve"> </w:t>
      </w:r>
      <w:r>
        <w:t xml:space="preserve">qualité de la l’affectation, de l’offre de formation, du remplissage et des</w:t>
      </w:r>
      <w:r>
        <w:t xml:space="preserve"> </w:t>
      </w:r>
      <w:r>
        <w:t xml:space="preserve">poursuites d’étude. La liste ne se prétend bien sûr pas exhaustive.</w:t>
      </w:r>
    </w:p>
    <w:bookmarkStart w:id="51" w:name="X18c498b0d4b6631e7bc0ef2992cb5f25cc61309"/>
    <w:p>
      <w:pPr>
        <w:pStyle w:val="Heading3"/>
      </w:pPr>
      <w:r>
        <w:t xml:space="preserve">Qualité de l’affectation : de la</w:t>
      </w:r>
      <w:r>
        <w:t xml:space="preserve"> </w:t>
      </w:r>
      <w:r>
        <w:rPr>
          <w:rStyle w:val="VerbatimChar"/>
        </w:rPr>
        <w:t xml:space="preserve">satisfaction de l'affectation</w:t>
      </w:r>
      <w:r>
        <w:t xml:space="preserve"> </w:t>
      </w:r>
      <w:r>
        <w:t xml:space="preserve">à la</w:t>
      </w:r>
      <w:r>
        <w:t xml:space="preserve"> </w:t>
      </w:r>
      <w:r>
        <w:rPr>
          <w:rStyle w:val="VerbatimChar"/>
        </w:rPr>
        <w:t xml:space="preserve">satisfaction d'utilisation de la plateforme</w:t>
      </w:r>
    </w:p>
    <w:p>
      <w:pPr>
        <w:pStyle w:val="CaptionedFigure"/>
      </w:pPr>
      <w:r>
        <w:drawing>
          <wp:inline>
            <wp:extent cx="5334000" cy="3010984"/>
            <wp:effectExtent b="0" l="0" r="0" t="0"/>
            <wp:docPr descr="Enquête IPSOS Opinion des néo-bacheliers sur Parcoursup, septembre 2022" title="" id="47" name="Picture"/>
            <a:graphic>
              <a:graphicData uri="http://schemas.openxmlformats.org/drawingml/2006/picture">
                <pic:pic>
                  <pic:nvPicPr>
                    <pic:cNvPr descr="figs/ipsos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Enquête IPSOS Opinion des néo-bacheliers sur Parcoursup, septembre 2022</w:t>
      </w:r>
    </w:p>
    <w:p>
      <w:pPr>
        <w:pStyle w:val="BodyText"/>
      </w:pPr>
      <w:r>
        <w:t xml:space="preserve">Plutôt que d’utiliser directement la plateforme Parcoursup pour mener une enquête</w:t>
      </w:r>
      <w:r>
        <w:t xml:space="preserve"> </w:t>
      </w:r>
      <w:r>
        <w:t xml:space="preserve">systématique auprès des candidats, le ministère a opté pour une enquête sur un</w:t>
      </w:r>
      <w:r>
        <w:t xml:space="preserve"> </w:t>
      </w:r>
      <w:r>
        <w:t xml:space="preserve">échantillon de 1001 néo-bacheliers, sous-traitée à l’institut de sondage IPSOS</w:t>
      </w:r>
      <w:r>
        <w:rPr>
          <w:rStyle w:val="FootnoteReference"/>
        </w:rPr>
        <w:footnoteReference w:id="49"/>
      </w:r>
      <w:r>
        <w:t xml:space="preserve">.</w:t>
      </w:r>
      <w:r>
        <w:t xml:space="preserve"> </w:t>
      </w:r>
      <w:r>
        <w:t xml:space="preserve">Cette enquête se concentre sur le fonctionnement de la plateforme,</w:t>
      </w:r>
      <w:r>
        <w:t xml:space="preserve"> </w:t>
      </w:r>
      <w:r>
        <w:t xml:space="preserve">et s’oriente vers la validation des éléments de langage utilisés pour</w:t>
      </w:r>
      <w:r>
        <w:t xml:space="preserve"> </w:t>
      </w:r>
      <w:r>
        <w:t xml:space="preserve">promouvoir la réforme, tels que « Le fait de laisser le dernier mot au candidat »</w:t>
      </w:r>
      <w:r>
        <w:t xml:space="preserve"> </w:t>
      </w:r>
      <w:r>
        <w:t xml:space="preserve">(80% d’opinion positive, bien que les candidats n’aient pas le dernier mot dans</w:t>
      </w:r>
      <w:r>
        <w:t xml:space="preserve"> </w:t>
      </w:r>
      <w:r>
        <w:t xml:space="preserve">le sens où leurs vœux ne l’emportent pas sur les décisions des formations).</w:t>
      </w:r>
      <w:r>
        <w:t xml:space="preserve"> </w:t>
      </w:r>
      <w:r>
        <w:t xml:space="preserve">Il révèle cependant que la procédure est « stressante » pour 83% des sondés et « juste »</w:t>
      </w:r>
      <w:r>
        <w:t xml:space="preserve"> </w:t>
      </w:r>
      <w:r>
        <w:t xml:space="preserve">pour seulement 28% en 2022 (en baisse brutale par rapport à 2021, 37%, et 2020, 48%).</w:t>
      </w:r>
    </w:p>
    <w:p>
      <w:pPr>
        <w:pStyle w:val="BodyText"/>
      </w:pPr>
      <w:r>
        <w:t xml:space="preserve">Une seule question concerne la satisfaction de l’affectation, « Avez-vous été satisfait par les réponses des formations</w:t>
      </w:r>
      <w:r>
        <w:t xml:space="preserve"> </w:t>
      </w:r>
      <w:r>
        <w:t xml:space="preserve">que vous avez obtenues via Parcoursup ? », posée seulement aux candidats admis</w:t>
      </w:r>
      <w:r>
        <w:t xml:space="preserve"> </w:t>
      </w:r>
      <w:r>
        <w:t xml:space="preserve">dans une formation, et dont les réponses sont 37% de « très satisfait », 35% de</w:t>
      </w:r>
      <w:r>
        <w:t xml:space="preserve"> </w:t>
      </w:r>
      <w:r>
        <w:t xml:space="preserve">« plutôt satisfait », 14% de « plutôt pas satisfait » et 14% de « pas du tout satisfait » (Figure X).</w:t>
      </w:r>
    </w:p>
    <w:p>
      <w:pPr>
        <w:pStyle w:val="BodyText"/>
      </w:pPr>
      <w:r>
        <w:t xml:space="preserve">D’APB à Parcoursup, cette enquête montre un glissement de la mesure, initialement concentrée sur la</w:t>
      </w:r>
      <w:r>
        <w:t xml:space="preserve"> </w:t>
      </w:r>
      <w:r>
        <w:t xml:space="preserve">satisfaction des candidats face à leur affectation, vers leur satisfaction face</w:t>
      </w:r>
      <w:r>
        <w:t xml:space="preserve"> </w:t>
      </w:r>
      <w:r>
        <w:t xml:space="preserve">à l’utilisation de la plateforme. Mais ce n’est pas le seul glissement observable.</w:t>
      </w:r>
    </w:p>
    <w:bookmarkEnd w:id="51"/>
    <w:bookmarkStart w:id="65" w:name="Xe626bae27f1ff4b214c155e228a23cb03958994"/>
    <w:p>
      <w:pPr>
        <w:pStyle w:val="Heading3"/>
      </w:pPr>
      <w:r>
        <w:t xml:space="preserve">Qualité de l’affectation : de la</w:t>
      </w:r>
      <w:r>
        <w:t xml:space="preserve"> </w:t>
      </w:r>
      <w:r>
        <w:rPr>
          <w:rStyle w:val="VerbatimChar"/>
        </w:rPr>
        <w:t xml:space="preserve">satisfaction</w:t>
      </w:r>
      <w:r>
        <w:t xml:space="preserve"> </w:t>
      </w:r>
      <w:r>
        <w:t xml:space="preserve">au</w:t>
      </w:r>
      <w:r>
        <w:t xml:space="preserve"> </w:t>
      </w:r>
      <w:r>
        <w:rPr>
          <w:rStyle w:val="VerbatimChar"/>
        </w:rPr>
        <w:t xml:space="preserve">débit</w:t>
      </w:r>
    </w:p>
    <w:p>
      <w:pPr>
        <w:pStyle w:val="CaptionedFigure"/>
      </w:pPr>
      <w:r>
        <w:drawing>
          <wp:inline>
            <wp:extent cx="4595937" cy="3446952"/>
            <wp:effectExtent b="0" l="0" r="0" t="0"/>
            <wp:docPr descr="Tableaux de bord Parcoursup et vitesse de l’affectation" title="" id="53" name="Picture"/>
            <a:graphic>
              <a:graphicData uri="http://schemas.openxmlformats.org/drawingml/2006/picture">
                <pic:pic>
                  <pic:nvPicPr>
                    <pic:cNvPr descr="ees-opb_files/figure-docx/aff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37" cy="344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Tableaux de bord Parcoursup et vitesse de l’affectation</w:t>
      </w:r>
    </w:p>
    <w:p>
      <w:pPr>
        <w:pStyle w:val="BodyText"/>
      </w:pPr>
      <w:r>
        <w:t xml:space="preserve">Avec APB, le taux de premiers vœux satisfaits mesurait le niveau de satisfaction des candidats (Figure 1, haut gauche</w:t>
      </w:r>
      <w:r>
        <w:rPr>
          <w:rStyle w:val="FootnoteReference"/>
        </w:rPr>
        <w:footnoteReference w:id="55"/>
      </w:r>
      <w:r>
        <w:t xml:space="preserve">).</w:t>
      </w:r>
      <w:r>
        <w:t xml:space="preserve"> </w:t>
      </w:r>
      <w:r>
        <w:t xml:space="preserve">Avec Parcoursup, cette mesure est substituée par deux indicateurs :</w:t>
      </w:r>
      <w:r>
        <w:t xml:space="preserve"> </w:t>
      </w:r>
      <w:r>
        <w:t xml:space="preserve">le taux de candidats ayant reçu au moins une proposition, et le temps qu’il faut pour la recevoir (Figure 1, haut droite</w:t>
      </w:r>
      <w:r>
        <w:rPr>
          <w:rStyle w:val="FootnoteReference"/>
        </w:rPr>
        <w:footnoteReference w:id="57"/>
      </w:r>
      <w:r>
        <w:t xml:space="preserve">).</w:t>
      </w:r>
      <w:r>
        <w:t xml:space="preserve"> </w:t>
      </w:r>
      <w:r>
        <w:t xml:space="preserve">En quelque sorte, il s’agit de la</w:t>
      </w:r>
      <w:r>
        <w:t xml:space="preserve"> </w:t>
      </w:r>
      <w:r>
        <w:rPr>
          <w:rStyle w:val="VerbatimChar"/>
        </w:rPr>
        <w:t xml:space="preserve">vitesse</w:t>
      </w:r>
      <w:r>
        <w:t xml:space="preserve"> </w:t>
      </w:r>
      <w:r>
        <w:t xml:space="preserve">(temps pour qu’un candidat soit affecté) ou du</w:t>
      </w:r>
      <w:r>
        <w:t xml:space="preserve"> </w:t>
      </w:r>
      <w:r>
        <w:rPr>
          <w:rStyle w:val="VerbatimChar"/>
        </w:rPr>
        <w:t xml:space="preserve">débit</w:t>
      </w:r>
      <w:r>
        <w:t xml:space="preserve"> </w:t>
      </w:r>
      <w:r>
        <w:t xml:space="preserve">(nombre de candidats affectés dans un laps de temps donné) de Parcoursup.</w:t>
      </w:r>
      <w:r>
        <w:t xml:space="preserve"> </w:t>
      </w:r>
      <w:r>
        <w:t xml:space="preserve">Les mesures de la procédures d’affectation témoignent donc d’une transition d’une</w:t>
      </w:r>
      <w:r>
        <w:t xml:space="preserve"> </w:t>
      </w:r>
      <w:r>
        <w:t xml:space="preserve">logique de satisfaction des candidats à une logique de gestion des flux, où la</w:t>
      </w:r>
      <w:r>
        <w:t xml:space="preserve"> </w:t>
      </w:r>
      <w:r>
        <w:t xml:space="preserve">qualité de l’affectation s’est éclipsée au profit de son débit.</w:t>
      </w:r>
    </w:p>
    <w:p>
      <w:pPr>
        <w:pStyle w:val="BodyText"/>
      </w:pPr>
      <w:r>
        <w:t xml:space="preserve">De plus, la Figure 1 bas montre le tableau de bord Parcoursup en 2018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et 2022</w:t>
      </w:r>
      <w:r>
        <w:rPr>
          <w:rStyle w:val="FootnoteReference"/>
        </w:rPr>
        <w:footnoteReference w:id="61"/>
      </w:r>
      <w:r>
        <w:t xml:space="preserve">, et</w:t>
      </w:r>
      <w:r>
        <w:t xml:space="preserve"> </w:t>
      </w:r>
      <w:r>
        <w:t xml:space="preserve">permet de s’interroger sur le but poursuivi par les modifications qui ont été faites</w:t>
      </w:r>
      <w:r>
        <w:t xml:space="preserve"> </w:t>
      </w:r>
      <w:r>
        <w:t xml:space="preserve">(Julien Gossa 2020)</w:t>
      </w:r>
      <w:r>
        <w:t xml:space="preserve">.</w:t>
      </w:r>
      <w:r>
        <w:t xml:space="preserve"> </w:t>
      </w:r>
      <w:r>
        <w:t xml:space="preserve">Notamment, la dernière version ne permet plus de connaitre combien de propositions ont</w:t>
      </w:r>
      <w:r>
        <w:t xml:space="preserve"> </w:t>
      </w:r>
      <w:r>
        <w:t xml:space="preserve">été définitivement acceptées, donc combien de candidats ont été effectivement affectés.</w:t>
      </w:r>
      <w:r>
        <w:t xml:space="preserve"> </w:t>
      </w:r>
      <w:r>
        <w:t xml:space="preserve">Ces indicateurs montrent que, désormais, le souci de communiquer au moins une proposition est</w:t>
      </w:r>
      <w:r>
        <w:t xml:space="preserve"> </w:t>
      </w:r>
      <w:r>
        <w:t xml:space="preserve">plus important que le souci que cette proposition soit satisfaisante, ou même juste</w:t>
      </w:r>
      <w:r>
        <w:t xml:space="preserve"> </w:t>
      </w:r>
      <w:r>
        <w:t xml:space="preserve">acceptée. Le bilan de la procédure d’admission publié par le ministère se concentre</w:t>
      </w:r>
      <w:r>
        <w:t xml:space="preserve"> </w:t>
      </w:r>
      <w:r>
        <w:t xml:space="preserve">d’ailleurs exclusivement sur la quantité de propositions et n’aborde jamais la</w:t>
      </w:r>
      <w:r>
        <w:t xml:space="preserve"> </w:t>
      </w:r>
      <w:r>
        <w:t xml:space="preserve">satisfaction des candidats</w:t>
      </w:r>
      <w:r>
        <w:rPr>
          <w:rStyle w:val="FootnoteReference"/>
        </w:rPr>
        <w:footnoteReference w:id="63"/>
      </w:r>
      <w:r>
        <w:t xml:space="preserve">.</w:t>
      </w:r>
    </w:p>
    <w:p>
      <w:pPr>
        <w:pStyle w:val="BodyText"/>
      </w:pPr>
      <w:r>
        <w:t xml:space="preserve">Concrètement, la non-hiérarchisation à priori des vœux des candidats, introduite</w:t>
      </w:r>
      <w:r>
        <w:t xml:space="preserve"> </w:t>
      </w:r>
      <w:r>
        <w:t xml:space="preserve">par la loi ORE, empêche toute mesure fine et solide de la satisfaction des</w:t>
      </w:r>
      <w:r>
        <w:t xml:space="preserve"> </w:t>
      </w:r>
      <w:r>
        <w:t xml:space="preserve">candidats, tel qu’APB permettait de le faire. Mais ce n’est pas la seule mesure</w:t>
      </w:r>
      <w:r>
        <w:t xml:space="preserve"> </w:t>
      </w:r>
      <w:r>
        <w:t xml:space="preserve">empêchée par cette modification.</w:t>
      </w:r>
    </w:p>
    <w:bookmarkEnd w:id="65"/>
    <w:bookmarkStart w:id="69" w:name="Xf13e51bc8b94f4a9d58061ab39515d81f1ff662"/>
    <w:p>
      <w:pPr>
        <w:pStyle w:val="Heading3"/>
      </w:pPr>
      <w:r>
        <w:t xml:space="preserve">Offre de formation :</w:t>
      </w:r>
      <w:r>
        <w:t xml:space="preserve"> </w:t>
      </w:r>
      <w:r>
        <w:rPr>
          <w:rStyle w:val="VerbatimChar"/>
        </w:rPr>
        <w:t xml:space="preserve">taille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nombre de formations</w:t>
      </w:r>
    </w:p>
    <w:p>
      <w:pPr>
        <w:pStyle w:val="CaptionedFigure"/>
      </w:pPr>
      <w:r>
        <w:drawing>
          <wp:inline>
            <wp:extent cx="4595937" cy="3446952"/>
            <wp:effectExtent b="0" l="0" r="0" t="0"/>
            <wp:docPr descr="Formations et admissions par taille de formation" title="" id="67" name="Picture"/>
            <a:graphic>
              <a:graphicData uri="http://schemas.openxmlformats.org/drawingml/2006/picture">
                <pic:pic>
                  <pic:nvPicPr>
                    <pic:cNvPr descr="ees-opb_files/figure-docx/odf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37" cy="344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Formations et admissions par taille de formation</w:t>
      </w:r>
    </w:p>
    <w:p>
      <w:pPr>
        <w:pStyle w:val="BodyText"/>
      </w:pPr>
      <w:r>
        <w:t xml:space="preserve">Le nombre de formations proposées dans Parcoursup est un argument politique, supportant</w:t>
      </w:r>
      <w:r>
        <w:t xml:space="preserve"> </w:t>
      </w:r>
      <w:r>
        <w:t xml:space="preserve">la volonté d’en faire la « place de marché unique » pour les formations post-bac.</w:t>
      </w:r>
      <w:r>
        <w:t xml:space="preserve"> </w:t>
      </w:r>
      <w:r>
        <w:t xml:space="preserve">La taille des formations peut se mesurer imparfaitement au nombre d’admissions,</w:t>
      </w:r>
      <w:r>
        <w:t xml:space="preserve"> </w:t>
      </w:r>
      <w:r>
        <w:t xml:space="preserve">puisque les admissions hors Parcoursup ne sont pas comptabilisées, et que les</w:t>
      </w:r>
      <w:r>
        <w:t xml:space="preserve"> </w:t>
      </w:r>
      <w:r>
        <w:t xml:space="preserve">formations mutualisées (les « portails » notamment) sont difficile à identifier.</w:t>
      </w:r>
    </w:p>
    <w:p>
      <w:pPr>
        <w:pStyle w:val="BodyText"/>
      </w:pPr>
      <w:r>
        <w:t xml:space="preserve">La Figure X montre le nombre de formations par taille (haut) et par nombre d’admissions (bas),</w:t>
      </w:r>
      <w:r>
        <w:t xml:space="preserve"> </w:t>
      </w:r>
      <w:r>
        <w:t xml:space="preserve">pour les Licences et pour toutes les autres formations.</w:t>
      </w:r>
      <w:r>
        <w:t xml:space="preserve"> </w:t>
      </w:r>
      <w:r>
        <w:t xml:space="preserve">La croissance du nombre de formations hors Licence s’explique en partie par la volonté</w:t>
      </w:r>
      <w:r>
        <w:t xml:space="preserve"> </w:t>
      </w:r>
      <w:r>
        <w:t xml:space="preserve">d’intégrer à Parcoursup toutes les formations post-bac, y compris privées.</w:t>
      </w:r>
      <w:r>
        <w:t xml:space="preserve"> </w:t>
      </w:r>
      <w:r>
        <w:t xml:space="preserve">L’énorme croissance spontanée en 2018 du nombre de petites Licences provient</w:t>
      </w:r>
      <w:r>
        <w:t xml:space="preserve"> </w:t>
      </w:r>
      <w:r>
        <w:t xml:space="preserve">probablement d’une meilleure déclaration des filières existantes, dans lesquelles</w:t>
      </w:r>
      <w:r>
        <w:t xml:space="preserve"> </w:t>
      </w:r>
      <w:r>
        <w:t xml:space="preserve">l’inscription était auparavant faites hors APB.</w:t>
      </w:r>
    </w:p>
    <w:p>
      <w:pPr>
        <w:pStyle w:val="BodyText"/>
      </w:pPr>
      <w:r>
        <w:t xml:space="preserve">Cependant, la diminution ensuite des</w:t>
      </w:r>
      <w:r>
        <w:t xml:space="preserve"> </w:t>
      </w:r>
      <w:r>
        <w:t xml:space="preserve">admissions dans les formations de très grande taille et la croissance des</w:t>
      </w:r>
      <w:r>
        <w:t xml:space="preserve"> </w:t>
      </w:r>
      <w:r>
        <w:t xml:space="preserve">admissions dans les formations de petite taille démontrent une « spécialisation »</w:t>
      </w:r>
      <w:r>
        <w:t xml:space="preserve"> </w:t>
      </w:r>
      <w:r>
        <w:t xml:space="preserve">croissante de l’offre de formation, en adéquation avec le discours de</w:t>
      </w:r>
      <w:r>
        <w:t xml:space="preserve"> </w:t>
      </w:r>
      <w:r>
        <w:t xml:space="preserve">« personnalisation des parcours ». Cette spécialisation est probablement une</w:t>
      </w:r>
      <w:r>
        <w:t xml:space="preserve"> </w:t>
      </w:r>
      <w:r>
        <w:t xml:space="preserve">mutation de fond, qui doit nous conduire à interroger la lisibilité de l’offre de</w:t>
      </w:r>
      <w:r>
        <w:t xml:space="preserve"> </w:t>
      </w:r>
      <w:r>
        <w:t xml:space="preserve">formation, la complexité des décisions d’affectation, et la continuité de diplômes</w:t>
      </w:r>
      <w:r>
        <w:t xml:space="preserve"> </w:t>
      </w:r>
      <w:r>
        <w:t xml:space="preserve">nationaux équivalents partout sur le territoire.</w:t>
      </w:r>
    </w:p>
    <w:bookmarkEnd w:id="69"/>
    <w:bookmarkEnd w:id="70"/>
    <w:bookmarkStart w:id="83" w:name="X4ec39fbd67d27eb27b204144f14a7c153647240"/>
    <w:p>
      <w:pPr>
        <w:pStyle w:val="Heading2"/>
      </w:pPr>
      <w:r>
        <w:t xml:space="preserve">Offre de formation : de la</w:t>
      </w:r>
      <w:r>
        <w:t xml:space="preserve"> </w:t>
      </w:r>
      <w:r>
        <w:rPr>
          <w:rStyle w:val="VerbatimChar"/>
        </w:rPr>
        <w:t xml:space="preserve">pression</w:t>
      </w:r>
      <w:r>
        <w:t xml:space="preserve"> </w:t>
      </w:r>
      <w:r>
        <w:t xml:space="preserve">au</w:t>
      </w:r>
      <w:r>
        <w:t xml:space="preserve"> </w:t>
      </w:r>
      <w:r>
        <w:rPr>
          <w:rStyle w:val="VerbatimChar"/>
        </w:rPr>
        <w:t xml:space="preserve">taux d'accès</w:t>
      </w:r>
    </w:p>
    <w:p>
      <w:pPr>
        <w:pStyle w:val="CaptionedFigure"/>
      </w:pPr>
      <w:r>
        <w:drawing>
          <wp:inline>
            <wp:extent cx="4595937" cy="3446952"/>
            <wp:effectExtent b="0" l="0" r="0" t="0"/>
            <wp:docPr descr="Sélectivité des formations de Parcoursup" title="" id="72" name="Picture"/>
            <a:graphic>
              <a:graphicData uri="http://schemas.openxmlformats.org/drawingml/2006/picture">
                <pic:pic>
                  <pic:nvPicPr>
                    <pic:cNvPr descr="ees-opb_files/figure-docx/sel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37" cy="344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Sélectivité des formations de Parcoursup</w:t>
      </w:r>
    </w:p>
    <w:p>
      <w:pPr>
        <w:pStyle w:val="BodyText"/>
      </w:pPr>
      <w:r>
        <w:t xml:space="preserve">La pression sur une formation peut se calculer comme le rapport entre le nombre</w:t>
      </w:r>
      <w:r>
        <w:t xml:space="preserve"> </w:t>
      </w:r>
      <w:r>
        <w:t xml:space="preserve">de candidatures et le nombre de places. C’est à la fois un indicateur d’attractivité,</w:t>
      </w:r>
      <w:r>
        <w:t xml:space="preserve"> </w:t>
      </w:r>
      <w:r>
        <w:t xml:space="preserve">un outil de négociation pour l’attribution des moyens locaux, et un outil de pilotage</w:t>
      </w:r>
      <w:r>
        <w:t xml:space="preserve"> </w:t>
      </w:r>
      <w:r>
        <w:t xml:space="preserve">permettant de connaitre la demande de formation.</w:t>
      </w:r>
      <w:r>
        <w:t xml:space="preserve"> </w:t>
      </w:r>
      <w:r>
        <w:t xml:space="preserve">Pour le calculer solidement, il faut connaitre l’ordre des vœux des candidats,</w:t>
      </w:r>
      <w:r>
        <w:t xml:space="preserve"> </w:t>
      </w:r>
      <w:r>
        <w:t xml:space="preserve">afin de ne pas comptabiliser ceux qui souhaitent en réalité une autre affectation.</w:t>
      </w:r>
      <w:r>
        <w:t xml:space="preserve"> </w:t>
      </w:r>
      <w:r>
        <w:t xml:space="preserve">Ce n’est donc plus possible avec Parcoursup, puisqu’il n’y a plus de hiérarchisation</w:t>
      </w:r>
      <w:r>
        <w:t xml:space="preserve"> </w:t>
      </w:r>
      <w:r>
        <w:t xml:space="preserve">explicite de tous les voeux.</w:t>
      </w:r>
    </w:p>
    <w:p>
      <w:pPr>
        <w:pStyle w:val="BodyText"/>
      </w:pPr>
      <w:r>
        <w:t xml:space="preserve">La mesure officielle de la pression est désormais le</w:t>
      </w:r>
      <w:r>
        <w:t xml:space="preserve"> </w:t>
      </w:r>
      <w:r>
        <w:rPr>
          <w:rStyle w:val="VerbatimChar"/>
        </w:rPr>
        <w:t xml:space="preserve">taux d'accès</w:t>
      </w:r>
      <w:r>
        <w:t xml:space="preserve">, défini comme le</w:t>
      </w:r>
      <w:r>
        <w:t xml:space="preserve"> </w:t>
      </w:r>
      <w:r>
        <w:rPr>
          <w:iCs/>
          <w:i/>
        </w:rPr>
        <w:t xml:space="preserve">« rapport entre le nombre de candidats dont le rang de classement est inférieur ou égal au</w:t>
      </w:r>
      <w:r>
        <w:rPr>
          <w:iCs/>
          <w:i/>
        </w:rPr>
        <w:t xml:space="preserve"> </w:t>
      </w:r>
      <w:r>
        <w:rPr>
          <w:iCs/>
          <w:i/>
        </w:rPr>
        <w:t xml:space="preserve">rang du dernier appelé de son groupe et le nombre de candidats ayant validé un vœu pour la formation étudiée</w:t>
      </w:r>
      <w:r>
        <w:rPr>
          <w:iCs/>
          <w:i/>
        </w:rPr>
        <w:t xml:space="preserve"> </w:t>
      </w:r>
      <w:r>
        <w:rPr>
          <w:iCs/>
          <w:i/>
        </w:rPr>
        <w:t xml:space="preserve">(en PP). Si le taux est de 100 %, cela signifie que l’ensemble des candidats qui a fait un vœu a reçu une proposition</w:t>
      </w:r>
      <w:r>
        <w:rPr>
          <w:iCs/>
          <w:i/>
        </w:rPr>
        <w:t xml:space="preserve"> </w:t>
      </w:r>
      <w:r>
        <w:rPr>
          <w:iCs/>
          <w:i/>
        </w:rPr>
        <w:t xml:space="preserve">de l’établissement. Sont exclues de ce calcul, les propositions faites au titre de meilleur bachelier »</w:t>
      </w:r>
      <w:r>
        <w:rPr>
          <w:rStyle w:val="FootnoteReference"/>
        </w:rPr>
        <w:footnoteReference w:id="74"/>
      </w:r>
      <w:r>
        <w:t xml:space="preserve">. Il mesure donc l’équilibre entre la liberté de choix des candidats (taux très haut)</w:t>
      </w:r>
      <w:r>
        <w:t xml:space="preserve"> </w:t>
      </w:r>
      <w:r>
        <w:t xml:space="preserve">et les classements des candidatures par les formations (taux bas).</w:t>
      </w:r>
    </w:p>
    <w:p>
      <w:pPr>
        <w:pStyle w:val="BodyText"/>
      </w:pPr>
      <w:r>
        <w:t xml:space="preserve">Hormis l’absence d’ordre des vœux, Cette mesure est rendue délicate par la gestion</w:t>
      </w:r>
      <w:r>
        <w:t xml:space="preserve"> </w:t>
      </w:r>
      <w:r>
        <w:t xml:space="preserve">des quotas, qui d’une part nécessite plusieurs groupes de candidatures distinctes</w:t>
      </w:r>
      <w:r>
        <w:t xml:space="preserve"> </w:t>
      </w:r>
      <w:r>
        <w:t xml:space="preserve">et donc en théorie plusieurs taux d’accès différents, et d’autre part modifie</w:t>
      </w:r>
      <w:r>
        <w:t xml:space="preserve"> </w:t>
      </w:r>
      <w:r>
        <w:t xml:space="preserve">l’ordre d’appel au cours de la procédure d’affectation.</w:t>
      </w:r>
      <w:r>
        <w:t xml:space="preserve"> </w:t>
      </w:r>
      <w:r>
        <w:t xml:space="preserve">De plus, les « vœux multiples »</w:t>
      </w:r>
      <w:r>
        <w:rPr>
          <w:rStyle w:val="FootnoteReference"/>
        </w:rPr>
        <w:footnoteReference w:id="76"/>
      </w:r>
      <w:r>
        <w:t xml:space="preserve">.</w:t>
      </w:r>
      <w:r>
        <w:t xml:space="preserve"> </w:t>
      </w:r>
      <w:r>
        <w:t xml:space="preserve">Toutes ces difficultés expliquent que ce taux ne soit accessible qu’à partir de 2020,</w:t>
      </w:r>
      <w:r>
        <w:t xml:space="preserve"> </w:t>
      </w:r>
      <w:r>
        <w:t xml:space="preserve">et globalement ne soit pas très fiable et très peu comparable. Il est donc difficile</w:t>
      </w:r>
      <w:r>
        <w:t xml:space="preserve"> </w:t>
      </w:r>
      <w:r>
        <w:t xml:space="preserve">d’évaluer clairement l’impact de Parcoursup sur cet aspect.</w:t>
      </w:r>
    </w:p>
    <w:p>
      <w:pPr>
        <w:pStyle w:val="BodyText"/>
      </w:pPr>
      <w:r>
        <w:t xml:space="preserve">La figure 4 montre cependant qu’il existe des « formations sélectives » (gauche) qui ne sélectionnent pas,</w:t>
      </w:r>
      <w:r>
        <w:t xml:space="preserve"> </w:t>
      </w:r>
      <w:r>
        <w:t xml:space="preserve">comme des « formations non sélectives » (droite) qui sélectionnent. Ce constat invite à</w:t>
      </w:r>
      <w:r>
        <w:t xml:space="preserve"> </w:t>
      </w:r>
      <w:r>
        <w:t xml:space="preserve">concevoir un indicateur global de sélectivité de l’affectation post-bac pour</w:t>
      </w:r>
      <w:r>
        <w:t xml:space="preserve"> </w:t>
      </w:r>
      <w:r>
        <w:t xml:space="preserve">permettre de suivre l’évolution de notre système, tant sous l’angle des formations</w:t>
      </w:r>
      <w:r>
        <w:t xml:space="preserve"> </w:t>
      </w:r>
      <w:r>
        <w:t xml:space="preserve">que des admissions</w:t>
      </w:r>
      <w:r>
        <w:rPr>
          <w:rStyle w:val="FootnoteReference"/>
        </w:rPr>
        <w:footnoteReference w:id="78"/>
      </w:r>
      <w:r>
        <w:t xml:space="preserve">.</w:t>
      </w:r>
      <w:r>
        <w:t xml:space="preserve"> </w:t>
      </w:r>
      <w:r>
        <w:t xml:space="preserve">En comparant haut et bas, la figure montre aussi une nette distinction de la</w:t>
      </w:r>
      <w:r>
        <w:t xml:space="preserve"> </w:t>
      </w:r>
      <w:r>
        <w:t xml:space="preserve">distribution des formations et des affectations, ce qui découle du nombre de</w:t>
      </w:r>
      <w:r>
        <w:t xml:space="preserve"> </w:t>
      </w:r>
      <w:r>
        <w:t xml:space="preserve">places proposées par formations.</w:t>
      </w:r>
    </w:p>
    <w:bookmarkStart w:id="82" w:name="X32e0a507510bf2d3b14abab849011e2cdbcab5a"/>
    <w:p>
      <w:pPr>
        <w:pStyle w:val="Heading3"/>
      </w:pPr>
      <w:r>
        <w:rPr>
          <w:rStyle w:val="VerbatimChar"/>
        </w:rPr>
        <w:t xml:space="preserve">Places non pourvues</w:t>
      </w:r>
      <w:r>
        <w:t xml:space="preserve">,</w:t>
      </w:r>
      <w:r>
        <w:t xml:space="preserve"> </w:t>
      </w:r>
      <w:r>
        <w:rPr>
          <w:rStyle w:val="VerbatimChar"/>
        </w:rPr>
        <w:t xml:space="preserve">Places vacantes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Taux de remplissage</w:t>
      </w:r>
    </w:p>
    <w:p>
      <w:pPr>
        <w:pStyle w:val="CaptionedFigure"/>
      </w:pPr>
      <w:r>
        <w:drawing>
          <wp:inline>
            <wp:extent cx="4595937" cy="3446952"/>
            <wp:effectExtent b="0" l="0" r="0" t="0"/>
            <wp:docPr descr="Taux de remplissage des formations post-bac" title="" id="80" name="Picture"/>
            <a:graphic>
              <a:graphicData uri="http://schemas.openxmlformats.org/drawingml/2006/picture">
                <pic:pic>
                  <pic:nvPicPr>
                    <pic:cNvPr descr="ees-opb_files/figure-docx/pnp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37" cy="344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Taux de remplissage des formations post-bac</w:t>
      </w:r>
    </w:p>
    <w:p>
      <w:pPr>
        <w:pStyle w:val="BodyText"/>
      </w:pPr>
      <w:r>
        <w:t xml:space="preserve">Le nombre de places proposées mais non pourvues ne fait pas partie des mesures</w:t>
      </w:r>
      <w:r>
        <w:t xml:space="preserve"> </w:t>
      </w:r>
      <w:r>
        <w:t xml:space="preserve">officielles, mais est regardé de près notamment par le CESP, qui le perçoit comme</w:t>
      </w:r>
      <w:r>
        <w:t xml:space="preserve"> </w:t>
      </w:r>
      <w:r>
        <w:t xml:space="preserve">une marge d’amélioration.</w:t>
      </w:r>
      <w:r>
        <w:t xml:space="preserve"> </w:t>
      </w:r>
      <w:r>
        <w:t xml:space="preserve">La Figure 2 fait un focus sur les Licences et BTS, qui présentent des phénomènes</w:t>
      </w:r>
      <w:r>
        <w:t xml:space="preserve"> </w:t>
      </w:r>
      <w:r>
        <w:t xml:space="preserve">intéressants. A gauche, la figure présente le nombre de</w:t>
      </w:r>
      <w:r>
        <w:t xml:space="preserve"> </w:t>
      </w:r>
      <w:r>
        <w:rPr>
          <w:rStyle w:val="VerbatimChar"/>
        </w:rPr>
        <w:t xml:space="preserve">places non pourvues</w:t>
      </w:r>
      <w:r>
        <w:t xml:space="preserve">, calculées comme la différence</w:t>
      </w:r>
      <w:r>
        <w:t xml:space="preserve"> </w:t>
      </w:r>
      <w:r>
        <w:t xml:space="preserve">entre les</w:t>
      </w:r>
      <w:r>
        <w:t xml:space="preserve"> </w:t>
      </w:r>
      <w:r>
        <w:rPr>
          <w:rStyle w:val="VerbatimChar"/>
        </w:rPr>
        <w:t xml:space="preserve">capacités d'accueil</w:t>
      </w:r>
      <w:r>
        <w:t xml:space="preserve"> </w:t>
      </w:r>
      <w:r>
        <w:t xml:space="preserve">officielles et les</w:t>
      </w:r>
      <w:r>
        <w:t xml:space="preserve"> </w:t>
      </w:r>
      <w:r>
        <w:rPr>
          <w:rStyle w:val="VerbatimChar"/>
        </w:rPr>
        <w:t xml:space="preserve">admissions</w:t>
      </w:r>
      <w:r>
        <w:t xml:space="preserve"> </w:t>
      </w:r>
      <w:r>
        <w:t xml:space="preserve">dans APB/Parcoursup.</w:t>
      </w:r>
    </w:p>
    <w:p>
      <w:pPr>
        <w:pStyle w:val="BodyText"/>
      </w:pPr>
      <w:r>
        <w:t xml:space="preserve">Malgré des tendances clairement apparentes, on ne doit pas en déduire ni que les</w:t>
      </w:r>
      <w:r>
        <w:t xml:space="preserve"> </w:t>
      </w:r>
      <w:r>
        <w:t xml:space="preserve">universités auraient remplies 300 000 places vacantes, ni que les BTS seraient</w:t>
      </w:r>
      <w:r>
        <w:t xml:space="preserve"> </w:t>
      </w:r>
      <w:r>
        <w:t xml:space="preserve">en voie de désaffection. En réalité, les</w:t>
      </w:r>
      <w:r>
        <w:t xml:space="preserve"> </w:t>
      </w:r>
      <w:r>
        <w:rPr>
          <w:rStyle w:val="VerbatimChar"/>
        </w:rPr>
        <w:t xml:space="preserve">capacités d'accueil</w:t>
      </w:r>
      <w:r>
        <w:t xml:space="preserve"> </w:t>
      </w:r>
      <w:r>
        <w:t xml:space="preserve">sont mal déclarées</w:t>
      </w:r>
      <w:r>
        <w:t xml:space="preserve"> </w:t>
      </w:r>
      <w:r>
        <w:t xml:space="preserve">notamment pour les Licences jusqu’en 2019, mais aussi ensuite pour les formations</w:t>
      </w:r>
      <w:r>
        <w:t xml:space="preserve"> </w:t>
      </w:r>
      <w:r>
        <w:t xml:space="preserve">qui ne souhaitent pas sélectionner, ou qui savent qu’elles ne seront de toutes</w:t>
      </w:r>
      <w:r>
        <w:t xml:space="preserve"> </w:t>
      </w:r>
      <w:r>
        <w:t xml:space="preserve">façons pas remplies.</w:t>
      </w:r>
      <w:r>
        <w:t xml:space="preserve"> </w:t>
      </w:r>
      <w:r>
        <w:t xml:space="preserve">De plus, les</w:t>
      </w:r>
      <w:r>
        <w:t xml:space="preserve"> </w:t>
      </w:r>
      <w:r>
        <w:rPr>
          <w:rStyle w:val="VerbatimChar"/>
        </w:rPr>
        <w:t xml:space="preserve">admissions</w:t>
      </w:r>
      <w:r>
        <w:t xml:space="preserve"> </w:t>
      </w:r>
      <w:r>
        <w:t xml:space="preserve">ne sont que partiellement comptabilisées :</w:t>
      </w:r>
      <w:r>
        <w:t xml:space="preserve"> </w:t>
      </w:r>
      <w:r>
        <w:t xml:space="preserve">le nombre de</w:t>
      </w:r>
      <w:r>
        <w:t xml:space="preserve"> </w:t>
      </w:r>
      <w:r>
        <w:rPr>
          <w:rStyle w:val="VerbatimChar"/>
        </w:rPr>
        <w:t xml:space="preserve">places non pourvues</w:t>
      </w:r>
      <w:r>
        <w:t xml:space="preserve"> </w:t>
      </w:r>
      <w:r>
        <w:t xml:space="preserve">par Parcoursup n’est pas le nombre réel de</w:t>
      </w:r>
      <w:r>
        <w:t xml:space="preserve"> </w:t>
      </w:r>
      <w:r>
        <w:rPr>
          <w:rStyle w:val="VerbatimChar"/>
        </w:rPr>
        <w:t xml:space="preserve">places vacantes</w:t>
      </w:r>
      <w:r>
        <w:t xml:space="preserve"> </w:t>
      </w:r>
      <w:r>
        <w:t xml:space="preserve">dans les formations.</w:t>
      </w:r>
    </w:p>
    <w:p>
      <w:pPr>
        <w:pStyle w:val="BodyText"/>
      </w:pPr>
      <w:r>
        <w:t xml:space="preserve">Les figures 2 droite montrent la même information sous la forme de</w:t>
      </w:r>
      <w:r>
        <w:t xml:space="preserve"> </w:t>
      </w:r>
      <w:r>
        <w:rPr>
          <w:rStyle w:val="VerbatimChar"/>
        </w:rPr>
        <w:t xml:space="preserve">taux remplissage globaux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moyens</w:t>
      </w:r>
      <w:r>
        <w:t xml:space="preserve">, racontant à chaque fois une histoire différente :</w:t>
      </w:r>
      <w:r>
        <w:t xml:space="preserve"> </w:t>
      </w:r>
      <w:r>
        <w:t xml:space="preserve">au global, on pourrait lire une saturation des Licences et une désaffectation des BTS ;</w:t>
      </w:r>
      <w:r>
        <w:t xml:space="preserve"> </w:t>
      </w:r>
      <w:r>
        <w:t xml:space="preserve">en moyenne, on constaterait plutôt une convergence des taux de remplissage.</w:t>
      </w:r>
      <w:r>
        <w:t xml:space="preserve"> </w:t>
      </w:r>
      <w:r>
        <w:t xml:space="preserve">Ceci démontre la nécessite de prendre beaucoup de précautions lorsqu’on manipule cette information,</w:t>
      </w:r>
      <w:r>
        <w:t xml:space="preserve"> </w:t>
      </w:r>
      <w:r>
        <w:t xml:space="preserve">et peut-être la nécessite de créer un véritable indicateur</w:t>
      </w:r>
      <w:r>
        <w:t xml:space="preserve"> </w:t>
      </w:r>
      <w:r>
        <w:rPr>
          <w:rStyle w:val="VerbatimChar"/>
        </w:rPr>
        <w:t xml:space="preserve">places vacantes</w:t>
      </w:r>
      <w:r>
        <w:t xml:space="preserve">.</w:t>
      </w:r>
    </w:p>
    <w:p>
      <w:pPr>
        <w:pStyle w:val="BodyText"/>
      </w:pPr>
      <w:r>
        <w:t xml:space="preserve">Quoi qu’il en soit, le nombre de</w:t>
      </w:r>
      <w:r>
        <w:t xml:space="preserve"> </w:t>
      </w:r>
      <w:r>
        <w:rPr>
          <w:rStyle w:val="VerbatimChar"/>
        </w:rPr>
        <w:t xml:space="preserve">places vacantes</w:t>
      </w:r>
      <w:r>
        <w:t xml:space="preserve"> </w:t>
      </w:r>
      <w:r>
        <w:t xml:space="preserve">est bien souvent interprété</w:t>
      </w:r>
      <w:r>
        <w:t xml:space="preserve"> </w:t>
      </w:r>
      <w:r>
        <w:t xml:space="preserve">seulement comme un indicateur de mauvaise affectation des moyens, dont la réduction</w:t>
      </w:r>
      <w:r>
        <w:t xml:space="preserve"> </w:t>
      </w:r>
      <w:r>
        <w:t xml:space="preserve">relèverait de la bonne gestion. Pourtant, une place non pourvue ne correspond pas</w:t>
      </w:r>
      <w:r>
        <w:t xml:space="preserve"> </w:t>
      </w:r>
      <w:r>
        <w:t xml:space="preserve">nécessairement à une chaise libre ou un enseignant sans service.</w:t>
      </w:r>
      <w:r>
        <w:t xml:space="preserve"> </w:t>
      </w:r>
      <w:r>
        <w:t xml:space="preserve">Surtout, un nombre important de places vacantes est nécessaire pour laisser une</w:t>
      </w:r>
      <w:r>
        <w:t xml:space="preserve"> </w:t>
      </w:r>
      <w:r>
        <w:t xml:space="preserve">marge de liberté aux candidats et éviter une rigidification de l’orientation.</w:t>
      </w:r>
      <w:r>
        <w:t xml:space="preserve"> </w:t>
      </w:r>
      <w:r>
        <w:t xml:space="preserve">Poursuivre l’objectif d’un nombre de places vacantes le plus bas possible peut</w:t>
      </w:r>
      <w:r>
        <w:t xml:space="preserve"> </w:t>
      </w:r>
      <w:r>
        <w:t xml:space="preserve">donc ne pas être souhaitable, et même échouer à améliorer le nombre de poursuites</w:t>
      </w:r>
      <w:r>
        <w:t xml:space="preserve"> </w:t>
      </w:r>
      <w:r>
        <w:t xml:space="preserve">d’étude.</w:t>
      </w:r>
    </w:p>
    <w:p>
      <w:r>
        <w:br w:type="page"/>
      </w:r>
    </w:p>
    <w:bookmarkEnd w:id="82"/>
    <w:bookmarkEnd w:id="83"/>
    <w:bookmarkStart w:id="88" w:name="X320d5ff141b54c32c8b83964d9dad0f874d2ead"/>
    <w:p>
      <w:pPr>
        <w:pStyle w:val="Heading2"/>
      </w:pPr>
      <w:r>
        <w:rPr>
          <w:rStyle w:val="VerbatimChar"/>
        </w:rPr>
        <w:t xml:space="preserve">Taux de poursuite d'étude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Nombre de non poursuites d'étude</w:t>
      </w:r>
    </w:p>
    <w:p>
      <w:pPr>
        <w:pStyle w:val="CaptionedFigure"/>
      </w:pPr>
      <w:r>
        <w:drawing>
          <wp:inline>
            <wp:extent cx="4595937" cy="2585214"/>
            <wp:effectExtent b="0" l="0" r="0" t="0"/>
            <wp:docPr descr="Taux de poursuite et nombre de non-poursuites d’étude des néo-bacheliers" title="" id="85" name="Picture"/>
            <a:graphic>
              <a:graphicData uri="http://schemas.openxmlformats.org/drawingml/2006/picture">
                <pic:pic>
                  <pic:nvPicPr>
                    <pic:cNvPr descr="ees-opb_files/figure-docx/pe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37" cy="258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Taux de poursuite et nombre de non-poursuites d’étude des néo-bacheliers</w:t>
      </w:r>
    </w:p>
    <w:p>
      <w:pPr>
        <w:pStyle w:val="BodyText"/>
      </w:pPr>
      <w:r>
        <w:t xml:space="preserve">Un récent jeu de données</w:t>
      </w:r>
      <w:r>
        <w:rPr>
          <w:rStyle w:val="FootnoteReference"/>
        </w:rPr>
        <w:footnoteReference w:id="87"/>
      </w:r>
      <w:r>
        <w:t xml:space="preserve">, permet percevoir les évolutions des poursuites d’étude,</w:t>
      </w:r>
      <w:r>
        <w:t xml:space="preserve"> </w:t>
      </w:r>
      <w:r>
        <w:t xml:space="preserve">par académie, secteurs et filières du bac et du supérieur.</w:t>
      </w:r>
      <w:r>
        <w:t xml:space="preserve"> </w:t>
      </w:r>
      <w:r>
        <w:t xml:space="preserve">Ce jeu est cependant aveugle aux autres candidatures, et notamment à celles des étudiants ayant un équivalent de baccalauréat étranger et ceux en reprise d’étude, dont l’admission est pourtant un grand enjeu.</w:t>
      </w:r>
    </w:p>
    <w:p>
      <w:pPr>
        <w:pStyle w:val="BodyText"/>
      </w:pPr>
      <w:r>
        <w:t xml:space="preserve">La figure 3 montre à gauche les taux de poursuite d’étude et à droite le nombre</w:t>
      </w:r>
      <w:r>
        <w:t xml:space="preserve"> </w:t>
      </w:r>
      <w:r>
        <w:t xml:space="preserve">absolu de non poursuivants. Là encore, selon l’indicateur, on obtient deux récits</w:t>
      </w:r>
      <w:r>
        <w:t xml:space="preserve"> </w:t>
      </w:r>
      <w:r>
        <w:t xml:space="preserve">différents, allant de l’amélioration des taux de poursuite pour les bacheliers</w:t>
      </w:r>
      <w:r>
        <w:t xml:space="preserve"> </w:t>
      </w:r>
      <w:r>
        <w:t xml:space="preserve">professionnels, à une entrée de plus en plus difficile dans le supérieur pour les</w:t>
      </w:r>
      <w:r>
        <w:t xml:space="preserve"> </w:t>
      </w:r>
      <w:r>
        <w:t xml:space="preserve">bac généraux et technologiques.</w:t>
      </w:r>
      <w:r>
        <w:t xml:space="preserve"> </w:t>
      </w:r>
      <w:r>
        <w:t xml:space="preserve">Il convient donc d’être très prudents, mais on peut néanmoins invalider l’hypothèse</w:t>
      </w:r>
      <w:r>
        <w:t xml:space="preserve"> </w:t>
      </w:r>
      <w:r>
        <w:t xml:space="preserve">d’une éviction de masse dès 2018, comme des détracteurs de la réforme ont peut le redouter.</w:t>
      </w:r>
    </w:p>
    <w:p>
      <w:r>
        <w:br w:type="page"/>
      </w:r>
    </w:p>
    <w:bookmarkEnd w:id="88"/>
    <w:bookmarkStart w:id="89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L’ouverture des données de Parcoursup est le fruit de formidables efforts du SIES.</w:t>
      </w:r>
      <w:r>
        <w:t xml:space="preserve"> </w:t>
      </w:r>
      <w:r>
        <w:t xml:space="preserve">Malheureusement, hormis les calculs qui sont rendus impossibles par la non hiérarchisation</w:t>
      </w:r>
      <w:r>
        <w:t xml:space="preserve"> </w:t>
      </w:r>
      <w:r>
        <w:t xml:space="preserve">à priori des vœux des candidats, les données sont compliquées à calculer, et encore plus délicates</w:t>
      </w:r>
      <w:r>
        <w:t xml:space="preserve"> </w:t>
      </w:r>
      <w:r>
        <w:t xml:space="preserve">à interpréter. Il est fréquent, sinon systématique, qu’on puisse raconter plusieurs</w:t>
      </w:r>
      <w:r>
        <w:t xml:space="preserve"> </w:t>
      </w:r>
      <w:r>
        <w:t xml:space="preserve">histoires très différentes à partir des mêmes données, sans même chercher à les</w:t>
      </w:r>
      <w:r>
        <w:t xml:space="preserve"> </w:t>
      </w:r>
      <w:r>
        <w:t xml:space="preserve">manipuler.</w:t>
      </w:r>
    </w:p>
    <w:p>
      <w:pPr>
        <w:pStyle w:val="BodyText"/>
      </w:pPr>
      <w:r>
        <w:t xml:space="preserve">Cependant, à ce stade et dans leur état, ces données ne permettent pas de confirmer</w:t>
      </w:r>
      <w:r>
        <w:t xml:space="preserve"> </w:t>
      </w:r>
      <w:r>
        <w:t xml:space="preserve">les discours qui ont accompagné la mise en œuvre de Parcoursup et de la loi ORE :</w:t>
      </w:r>
      <w:r>
        <w:t xml:space="preserve"> </w:t>
      </w:r>
      <w:r>
        <w:t xml:space="preserve">on n’observe ni d’amélioration de la satisfaction des étudiants ou des formations,</w:t>
      </w:r>
      <w:r>
        <w:t xml:space="preserve"> </w:t>
      </w:r>
      <w:r>
        <w:t xml:space="preserve">ni des taux de remplissage ; les taux de poursuite d’étude ne montrent ni ouverture</w:t>
      </w:r>
      <w:r>
        <w:t xml:space="preserve"> </w:t>
      </w:r>
      <w:r>
        <w:t xml:space="preserve">ni éviction ; la mesure de la sélectivité est trop récente pour vraiment observer</w:t>
      </w:r>
      <w:r>
        <w:t xml:space="preserve"> </w:t>
      </w:r>
      <w:r>
        <w:t xml:space="preserve">une mutation.</w:t>
      </w:r>
    </w:p>
    <w:p>
      <w:pPr>
        <w:pStyle w:val="BodyText"/>
      </w:pPr>
      <w:r>
        <w:t xml:space="preserve">Cela nous conduit à nous interroger sur l’utilisation que l’État a fait de son</w:t>
      </w:r>
      <w:r>
        <w:t xml:space="preserve"> </w:t>
      </w:r>
      <w:r>
        <w:t xml:space="preserve">nouveau pouvoir de contrôle sur les admissions post-bac. Nous trouvons une piste</w:t>
      </w:r>
      <w:r>
        <w:t xml:space="preserve"> </w:t>
      </w:r>
      <w:r>
        <w:t xml:space="preserve">en observant l’évolution de la distribution des tailles de formation, que montre</w:t>
      </w:r>
      <w:r>
        <w:t xml:space="preserve"> </w:t>
      </w:r>
      <w:r>
        <w:t xml:space="preserve">la figure 5.</w:t>
      </w:r>
    </w:p>
    <w:p>
      <w:r>
        <w:br w:type="page"/>
      </w:r>
    </w:p>
    <w:bookmarkEnd w:id="89"/>
    <w:bookmarkStart w:id="131" w:name="références"/>
    <w:p>
      <w:pPr>
        <w:pStyle w:val="Heading1"/>
      </w:pPr>
      <w:r>
        <w:t xml:space="preserve">Références</w:t>
      </w:r>
    </w:p>
    <w:bookmarkStart w:id="130" w:name="refs"/>
    <w:bookmarkStart w:id="91" w:name="ref-beaud__2018"/>
    <w:p>
      <w:pPr>
        <w:pStyle w:val="Bibliography"/>
      </w:pPr>
      <w:r>
        <w:t xml:space="preserve">Beaud, Olivier, and François Vatin. 2018.</w:t>
      </w:r>
      <w:r>
        <w:t xml:space="preserve"> </w:t>
      </w:r>
      <w:r>
        <w:t xml:space="preserve">“« </w:t>
      </w:r>
      <w:r>
        <w:t xml:space="preserve">Orientation</w:t>
      </w:r>
      <w:r>
        <w:t xml:space="preserve"> </w:t>
      </w:r>
      <w:r>
        <w:t xml:space="preserve">Et Réussite Des Étudiants ».</w:t>
      </w:r>
      <w:r>
        <w:t xml:space="preserve"> </w:t>
      </w:r>
      <w:r>
        <w:t xml:space="preserve">Une</w:t>
      </w:r>
      <w:r>
        <w:t xml:space="preserve"> </w:t>
      </w:r>
      <w:r>
        <w:t xml:space="preserve">Nouvelle Loi Pour Les Universités (</w:t>
      </w:r>
      <w:r>
        <w:t xml:space="preserve">I</w:t>
      </w:r>
      <w:r>
        <w:t xml:space="preserve">).”</w:t>
      </w:r>
      <w:r>
        <w:t xml:space="preserve"> </w:t>
      </w:r>
      <w:r>
        <w:rPr>
          <w:iCs/>
          <w:i/>
        </w:rPr>
        <w:t xml:space="preserve">Commentaire</w:t>
      </w:r>
      <w:r>
        <w:t xml:space="preserve"> </w:t>
      </w:r>
      <w:r>
        <w:t xml:space="preserve">Numéro 163 (3): 687–98.</w:t>
      </w:r>
      <w:r>
        <w:t xml:space="preserve"> </w:t>
      </w:r>
      <w:hyperlink r:id="rId90">
        <w:r>
          <w:rPr>
            <w:rStyle w:val="Hyperlink"/>
          </w:rPr>
          <w:t xml:space="preserve">https://doi.org/10.3917/comm.163.0687</w:t>
        </w:r>
      </w:hyperlink>
      <w:r>
        <w:t xml:space="preserve">.</w:t>
      </w:r>
    </w:p>
    <w:bookmarkEnd w:id="91"/>
    <w:bookmarkStart w:id="93" w:name="ref-bodin_adhesion_2020"/>
    <w:p>
      <w:pPr>
        <w:pStyle w:val="Bibliography"/>
      </w:pPr>
      <w:r>
        <w:t xml:space="preserve">Bodin, Romuald, Juliette Mengneau, and Sophie Orange. 2020.</w:t>
      </w:r>
      <w:r>
        <w:t xml:space="preserve"> </w:t>
      </w:r>
      <w:r>
        <w:t xml:space="preserve">“Adhésion Enchantée Et Aléas Universitaires : Les Effets Ambivalents de La Sélection à l’</w:t>
      </w:r>
      <w:r>
        <w:t xml:space="preserve">Université</w:t>
      </w:r>
      <w:r>
        <w:t xml:space="preserve">.”</w:t>
      </w:r>
      <w:r>
        <w:t xml:space="preserve"> </w:t>
      </w:r>
      <w:r>
        <w:rPr>
          <w:iCs/>
          <w:i/>
        </w:rPr>
        <w:t xml:space="preserve">L’Année Sociologique</w:t>
      </w:r>
      <w:r>
        <w:t xml:space="preserve"> </w:t>
      </w:r>
      <w:r>
        <w:t xml:space="preserve">70 (2): 443–67.</w:t>
      </w:r>
      <w:r>
        <w:t xml:space="preserve"> </w:t>
      </w:r>
      <w:hyperlink r:id="rId92">
        <w:r>
          <w:rPr>
            <w:rStyle w:val="Hyperlink"/>
          </w:rPr>
          <w:t xml:space="preserve">https://doi.org/10.3917/anso.202.0443</w:t>
        </w:r>
      </w:hyperlink>
      <w:r>
        <w:t xml:space="preserve">.</w:t>
      </w:r>
    </w:p>
    <w:bookmarkEnd w:id="93"/>
    <w:bookmarkStart w:id="95" w:name="ref-bodin_gestion_2019"/>
    <w:p>
      <w:pPr>
        <w:pStyle w:val="Bibliography"/>
      </w:pPr>
      <w:r>
        <w:t xml:space="preserve">Bodin, Romuald, and Sophie Orange. 2019.</w:t>
      </w:r>
      <w:r>
        <w:t xml:space="preserve"> </w:t>
      </w:r>
      <w:r>
        <w:t xml:space="preserve">“La Gestion Des Risques Scolaires. «</w:t>
      </w:r>
      <w:r>
        <w:t xml:space="preserve"> </w:t>
      </w:r>
      <w:r>
        <w:t xml:space="preserve">Avec</w:t>
      </w:r>
      <w:r>
        <w:t xml:space="preserve"> </w:t>
      </w:r>
      <w:r>
        <w:t xml:space="preserve">Parcoursup</w:t>
      </w:r>
      <w:r>
        <w:t xml:space="preserve">, Je Ne Serais Peut-Être Pas Là ».”</w:t>
      </w:r>
      <w:r>
        <w:t xml:space="preserve"> </w:t>
      </w:r>
      <w:r>
        <w:rPr>
          <w:iCs/>
          <w:i/>
        </w:rPr>
        <w:t xml:space="preserve">Sociologie</w:t>
      </w:r>
      <w:r>
        <w:t xml:space="preserve"> </w:t>
      </w:r>
      <w:r>
        <w:t xml:space="preserve">Vol. 10 (2): 217–24.</w:t>
      </w:r>
      <w:r>
        <w:t xml:space="preserve"> </w:t>
      </w:r>
      <w:hyperlink r:id="rId94">
        <w:r>
          <w:rPr>
            <w:rStyle w:val="Hyperlink"/>
          </w:rPr>
          <w:t xml:space="preserve">https://www.cairn.info/revue-sociologie-2019-2-page-217.htm</w:t>
        </w:r>
      </w:hyperlink>
      <w:r>
        <w:t xml:space="preserve">.</w:t>
      </w:r>
    </w:p>
    <w:bookmarkEnd w:id="95"/>
    <w:bookmarkStart w:id="97" w:name="ref-caillot_analyse_2022"/>
    <w:p>
      <w:pPr>
        <w:pStyle w:val="Bibliography"/>
      </w:pPr>
      <w:r>
        <w:t xml:space="preserve">Caillot, Mélanie, and Olivier Sidokpohou. 2022.</w:t>
      </w:r>
      <w:r>
        <w:t xml:space="preserve"> </w:t>
      </w:r>
      <w:r>
        <w:t xml:space="preserve">“Analyse Des Vœux Et Affectations Dans l’enseignement Supérieur Des Bacheliers 2021 Après La Réforme Du Lycée Général Et Technologique.”</w:t>
      </w:r>
      <w:r>
        <w:t xml:space="preserve"> </w:t>
      </w:r>
      <w:r>
        <w:t xml:space="preserve">IGESR.</w:t>
      </w:r>
      <w:r>
        <w:t xml:space="preserve"> </w:t>
      </w:r>
      <w:hyperlink r:id="rId96">
        <w:r>
          <w:rPr>
            <w:rStyle w:val="Hyperlink"/>
          </w:rPr>
          <w:t xml:space="preserve">https://www.education.gouv.fr/analyse-des-voeux-et-affectations-dans-l-enseignement-superieur-des-bacheliers-2021-apres-la-reforme-327062</w:t>
        </w:r>
      </w:hyperlink>
      <w:r>
        <w:t xml:space="preserve">.</w:t>
      </w:r>
    </w:p>
    <w:bookmarkEnd w:id="97"/>
    <w:bookmarkStart w:id="99" w:name="ref-chauvel_enseignement_2019"/>
    <w:p>
      <w:pPr>
        <w:pStyle w:val="Bibliography"/>
      </w:pPr>
      <w:r>
        <w:t xml:space="preserve">Chauvel, Séverine, and Cédric Hugrée. 2019.</w:t>
      </w:r>
      <w:r>
        <w:t xml:space="preserve"> </w:t>
      </w:r>
      <w:r>
        <w:t xml:space="preserve">“Enseignement Supérieur : L’art Et Les Manières de Sélectionner.</w:t>
      </w:r>
      <w:r>
        <w:t xml:space="preserve"> </w:t>
      </w:r>
      <w:r>
        <w:t xml:space="preserve">Introduction</w:t>
      </w:r>
      <w:r>
        <w:t xml:space="preserve">.”</w:t>
      </w:r>
      <w:r>
        <w:t xml:space="preserve"> </w:t>
      </w:r>
      <w:r>
        <w:rPr>
          <w:iCs/>
          <w:i/>
        </w:rPr>
        <w:t xml:space="preserve">Sociologie</w:t>
      </w:r>
      <w:r>
        <w:t xml:space="preserve">, no. N° 2, vol. 10 (July).</w:t>
      </w:r>
      <w:r>
        <w:t xml:space="preserve"> </w:t>
      </w:r>
      <w:hyperlink r:id="rId98">
        <w:r>
          <w:rPr>
            <w:rStyle w:val="Hyperlink"/>
          </w:rPr>
          <w:t xml:space="preserve">http://journals.openedition.org/sociologie/5451</w:t>
        </w:r>
      </w:hyperlink>
      <w:r>
        <w:t xml:space="preserve">.</w:t>
      </w:r>
    </w:p>
    <w:bookmarkEnd w:id="99"/>
    <w:bookmarkStart w:id="101" w:name="ref-cour_des_comptes_admission_2017"/>
    <w:p>
      <w:pPr>
        <w:pStyle w:val="Bibliography"/>
      </w:pPr>
      <w:r>
        <w:t xml:space="preserve">Cour des comptes. 2017.</w:t>
      </w:r>
      <w:r>
        <w:t xml:space="preserve"> </w:t>
      </w:r>
      <w:r>
        <w:t xml:space="preserve">“Admission Post-Bac Et Accès à l’enseignement Supérieur -</w:t>
      </w:r>
      <w:r>
        <w:t xml:space="preserve"> </w:t>
      </w:r>
      <w:r>
        <w:t xml:space="preserve">Un</w:t>
      </w:r>
      <w:r>
        <w:t xml:space="preserve"> </w:t>
      </w:r>
      <w:r>
        <w:t xml:space="preserve">Dispositif Contesté à Réformer.”</w:t>
      </w:r>
      <w:r>
        <w:t xml:space="preserve"> </w:t>
      </w:r>
      <w:hyperlink r:id="rId100">
        <w:r>
          <w:rPr>
            <w:rStyle w:val="Hyperlink"/>
          </w:rPr>
          <w:t xml:space="preserve">https://www.ccomptes.fr/sites/default/files/2017-10/20171019-rapport-admission-post-bac_0.pdf</w:t>
        </w:r>
      </w:hyperlink>
      <w:r>
        <w:t xml:space="preserve">.</w:t>
      </w:r>
    </w:p>
    <w:bookmarkEnd w:id="101"/>
    <w:bookmarkStart w:id="102" w:name="ref-cour_des_comptes_premier_2020"/>
    <w:p>
      <w:pPr>
        <w:pStyle w:val="Bibliography"/>
      </w:pPr>
      <w:r>
        <w:t xml:space="preserve">Cour des Comptes. 2020.</w:t>
      </w:r>
      <w:r>
        <w:t xml:space="preserve"> </w:t>
      </w:r>
      <w:r>
        <w:t xml:space="preserve">“Un Premier Bilan de l’accès à l’enseignement Supérieur Dans Le Cadre de La Loi</w:t>
      </w:r>
      <w:r>
        <w:t xml:space="preserve"> </w:t>
      </w:r>
      <w:r>
        <w:t xml:space="preserve">Orientation</w:t>
      </w:r>
      <w:r>
        <w:t xml:space="preserve"> </w:t>
      </w:r>
      <w:r>
        <w:t xml:space="preserve">Et Réussite Des Étudiants.”</w:t>
      </w:r>
      <w:r>
        <w:t xml:space="preserve"> </w:t>
      </w:r>
      <w:r>
        <w:t xml:space="preserve">Cour des comptes.</w:t>
      </w:r>
    </w:p>
    <w:bookmarkEnd w:id="102"/>
    <w:bookmarkStart w:id="104" w:name="ref-csore_rapport_2019"/>
    <w:p>
      <w:pPr>
        <w:pStyle w:val="Bibliography"/>
      </w:pPr>
      <w:r>
        <w:t xml:space="preserve">CSORE. 2019.</w:t>
      </w:r>
      <w:r>
        <w:t xml:space="preserve"> </w:t>
      </w:r>
      <w:r>
        <w:t xml:space="preserve">“Rapport Du Comité de Suivi de La Loi</w:t>
      </w:r>
      <w:r>
        <w:t xml:space="preserve"> </w:t>
      </w:r>
      <w:r>
        <w:t xml:space="preserve">Orientation</w:t>
      </w:r>
      <w:r>
        <w:t xml:space="preserve"> </w:t>
      </w:r>
      <w:r>
        <w:t xml:space="preserve">Et</w:t>
      </w:r>
      <w:r>
        <w:t xml:space="preserve"> </w:t>
      </w:r>
      <w:r>
        <w:t xml:space="preserve">Réussite</w:t>
      </w:r>
      <w:r>
        <w:t xml:space="preserve"> </w:t>
      </w:r>
      <w:r>
        <w:t xml:space="preserve">Des Étudiants.”</w:t>
      </w:r>
      <w:r>
        <w:t xml:space="preserve"> </w:t>
      </w:r>
      <w:r>
        <w:t xml:space="preserve">MESRI.</w:t>
      </w:r>
      <w:r>
        <w:t xml:space="preserve"> </w:t>
      </w:r>
      <w:hyperlink r:id="rId103">
        <w:r>
          <w:rPr>
            <w:rStyle w:val="Hyperlink"/>
          </w:rPr>
          <w:t xml:space="preserve">http://cache.media.enseignementsup-recherche.gouv.fr/file/Actus/87/7/RAPPORT-_CSORE_1187877.pdf</w:t>
        </w:r>
      </w:hyperlink>
      <w:r>
        <w:t xml:space="preserve">.</w:t>
      </w:r>
    </w:p>
    <w:bookmarkEnd w:id="104"/>
    <w:bookmarkStart w:id="106" w:name="ref-daverne-bailly_orienter_2020"/>
    <w:p>
      <w:pPr>
        <w:pStyle w:val="Bibliography"/>
      </w:pPr>
      <w:r>
        <w:t xml:space="preserve">Daverne-Bailly, Carole, and Claudie Bobineau. 2020.</w:t>
      </w:r>
      <w:r>
        <w:t xml:space="preserve"> </w:t>
      </w:r>
      <w:r>
        <w:t xml:space="preserve">“Orienter Et s’orienter Vers l’enseignement Supérieur Dans Un Contexte de Changement Des Politiques Éducatives : Incertitudes, Choix, Inégalités.”</w:t>
      </w:r>
      <w:r>
        <w:t xml:space="preserve"> </w:t>
      </w:r>
      <w:r>
        <w:rPr>
          <w:iCs/>
          <w:i/>
        </w:rPr>
        <w:t xml:space="preserve">Éducation Et Socialisation. Les Cahiers Du CERFEE</w:t>
      </w:r>
      <w:r>
        <w:t xml:space="preserve">, no. 58 (December).</w:t>
      </w:r>
      <w:r>
        <w:t xml:space="preserve"> </w:t>
      </w:r>
      <w:hyperlink r:id="rId105">
        <w:r>
          <w:rPr>
            <w:rStyle w:val="Hyperlink"/>
          </w:rPr>
          <w:t xml:space="preserve">https://doi.org/10.4000/edso.13048</w:t>
        </w:r>
      </w:hyperlink>
      <w:r>
        <w:t xml:space="preserve">.</w:t>
      </w:r>
    </w:p>
    <w:bookmarkEnd w:id="106"/>
    <w:bookmarkStart w:id="108" w:name="ref-frouillou_roinstruments_2019"/>
    <w:p>
      <w:pPr>
        <w:pStyle w:val="Bibliography"/>
      </w:pPr>
      <w:r>
        <w:t xml:space="preserve">Frouillou, Leïla, Clément Pin, and Agnès van Zanten. 2019.</w:t>
      </w:r>
      <w:r>
        <w:t xml:space="preserve"> </w:t>
      </w:r>
      <w:r>
        <w:t xml:space="preserve">“Le Rôle Des Instruments Dans La Sélection Des Bacheliers Dans l’enseignement Supérieur.</w:t>
      </w:r>
      <w:r>
        <w:t xml:space="preserve"> </w:t>
      </w:r>
      <w:r>
        <w:t xml:space="preserve">La</w:t>
      </w:r>
      <w:r>
        <w:t xml:space="preserve"> </w:t>
      </w:r>
      <w:r>
        <w:t xml:space="preserve">Nouvelle Gouvernance Des Affectations Par Les Algorithmes.”</w:t>
      </w:r>
      <w:r>
        <w:t xml:space="preserve"> </w:t>
      </w:r>
      <w:r>
        <w:rPr>
          <w:iCs/>
          <w:i/>
        </w:rPr>
        <w:t xml:space="preserve">Sociologie</w:t>
      </w:r>
      <w:r>
        <w:t xml:space="preserve"> </w:t>
      </w:r>
      <w:r>
        <w:t xml:space="preserve">Vol. 10 (2): 209–15.</w:t>
      </w:r>
      <w:r>
        <w:t xml:space="preserve"> </w:t>
      </w:r>
      <w:hyperlink r:id="rId107">
        <w:r>
          <w:rPr>
            <w:rStyle w:val="Hyperlink"/>
          </w:rPr>
          <w:t xml:space="preserve">https://www.cairn.info/revue-sociologie-2019-2-page-209.htm</w:t>
        </w:r>
      </w:hyperlink>
      <w:r>
        <w:t xml:space="preserve">.</w:t>
      </w:r>
    </w:p>
    <w:bookmarkEnd w:id="108"/>
    <w:bookmarkStart w:id="110" w:name="ref-frouillou_les_2020"/>
    <w:p>
      <w:pPr>
        <w:pStyle w:val="Bibliography"/>
      </w:pPr>
      <w:r>
        <w:t xml:space="preserve">Frouillou, Leïla, Clément Pin, and Agnès van Zanten. 2020.</w:t>
      </w:r>
      <w:r>
        <w:t xml:space="preserve"> </w:t>
      </w:r>
      <w:r>
        <w:t xml:space="preserve">“Les Plateformes</w:t>
      </w:r>
      <w:r>
        <w:t xml:space="preserve"> </w:t>
      </w:r>
      <w:r>
        <w:t xml:space="preserve">APB</w:t>
      </w:r>
      <w:r>
        <w:t xml:space="preserve"> </w:t>
      </w:r>
      <w:r>
        <w:t xml:space="preserve">Et</w:t>
      </w:r>
      <w:r>
        <w:t xml:space="preserve"> </w:t>
      </w:r>
      <w:r>
        <w:t xml:space="preserve">Parcoursup</w:t>
      </w:r>
      <w:r>
        <w:t xml:space="preserve"> </w:t>
      </w:r>
      <w:r>
        <w:t xml:space="preserve">Au Service de l’égalité Des Chances ?</w:t>
      </w:r>
      <w:r>
        <w:t xml:space="preserve">L</w:t>
      </w:r>
      <w:r>
        <w:t xml:space="preserve">’évolution Des Procédures Et Des Normes d’accès à l’enseignement Supérieur En </w:t>
      </w:r>
      <w:r>
        <w:t xml:space="preserve">France</w:t>
      </w:r>
      <w:r>
        <w:t xml:space="preserve">.”</w:t>
      </w:r>
      <w:r>
        <w:t xml:space="preserve"> </w:t>
      </w:r>
      <w:r>
        <w:rPr>
          <w:iCs/>
          <w:i/>
        </w:rPr>
        <w:t xml:space="preserve">L’Année Sociologique</w:t>
      </w:r>
      <w:r>
        <w:t xml:space="preserve"> </w:t>
      </w:r>
      <w:r>
        <w:t xml:space="preserve">70 (2): 337–63.</w:t>
      </w:r>
      <w:r>
        <w:t xml:space="preserve"> </w:t>
      </w:r>
      <w:hyperlink r:id="rId109">
        <w:r>
          <w:rPr>
            <w:rStyle w:val="Hyperlink"/>
          </w:rPr>
          <w:t xml:space="preserve">https://doi.org/10.3917/anso.202.0337</w:t>
        </w:r>
      </w:hyperlink>
      <w:r>
        <w:t xml:space="preserve">.</w:t>
      </w:r>
    </w:p>
    <w:bookmarkEnd w:id="110"/>
    <w:bookmarkStart w:id="112" w:name="X8cdf39becaf792ec649c9e6c31752923e0c291d"/>
    <w:p>
      <w:pPr>
        <w:pStyle w:val="Bibliography"/>
      </w:pPr>
      <w:r>
        <w:t xml:space="preserve">Isabelle Falque-Pierrotin, présidente, Jean-Richard Cytermann, Max Dauchet, Jean-Marie Filloque, Catherine Moisan, and Isabelle Roussel. 2022.</w:t>
      </w:r>
      <w:r>
        <w:t xml:space="preserve"> </w:t>
      </w:r>
      <w:r>
        <w:t xml:space="preserve">“4e Rapport Annuel Au</w:t>
      </w:r>
      <w:r>
        <w:t xml:space="preserve"> </w:t>
      </w:r>
      <w:r>
        <w:t xml:space="preserve">Parlement</w:t>
      </w:r>
      <w:r>
        <w:t xml:space="preserve">.”</w:t>
      </w:r>
      <w:r>
        <w:t xml:space="preserve"> </w:t>
      </w:r>
      <w:r>
        <w:t xml:space="preserve">Comité éthique et scientifique de Parcoursup.</w:t>
      </w:r>
      <w:r>
        <w:t xml:space="preserve"> </w:t>
      </w:r>
      <w:hyperlink r:id="rId111">
        <w:r>
          <w:rPr>
            <w:rStyle w:val="Hyperlink"/>
          </w:rPr>
          <w:t xml:space="preserve">https://www.enseignementsup-recherche.gouv.fr/sites/default/files/2022-02/rapport-cesp-2022-16793.pdf</w:t>
        </w:r>
      </w:hyperlink>
      <w:r>
        <w:t xml:space="preserve">.</w:t>
      </w:r>
    </w:p>
    <w:bookmarkEnd w:id="112"/>
    <w:bookmarkStart w:id="114" w:name="ref-isabelle_falque-pierrotin_2e_2020"/>
    <w:p>
      <w:pPr>
        <w:pStyle w:val="Bibliography"/>
      </w:pPr>
      <w:r>
        <w:t xml:space="preserve">Isabelle Falque-Pierrotin, Gérard Berry, Jean-Richard Cytermann, Max Dauchet, Jean-Marie Filloque, Catherine Moisan, and Isabelle Roussel. 2020.</w:t>
      </w:r>
      <w:r>
        <w:t xml:space="preserve"> </w:t>
      </w:r>
      <w:r>
        <w:t xml:space="preserve">“2e Rapport Annuel Au</w:t>
      </w:r>
      <w:r>
        <w:t xml:space="preserve"> </w:t>
      </w:r>
      <w:r>
        <w:t xml:space="preserve">Parlement</w:t>
      </w:r>
      <w:r>
        <w:t xml:space="preserve">.”</w:t>
      </w:r>
      <w:r>
        <w:t xml:space="preserve"> </w:t>
      </w:r>
      <w:r>
        <w:t xml:space="preserve">Comité éthique et scientifique de Parcoursup.</w:t>
      </w:r>
      <w:r>
        <w:t xml:space="preserve"> </w:t>
      </w:r>
      <w:hyperlink r:id="rId113">
        <w:r>
          <w:rPr>
            <w:rStyle w:val="Hyperlink"/>
          </w:rPr>
          <w:t xml:space="preserve">https://cache.media.enseignementsup-recherche.gouv.fr/file/2020/28/9/Rapport_du_CESP_2019_(janvier_2020)_1227289.pdf</w:t>
        </w:r>
      </w:hyperlink>
      <w:r>
        <w:t xml:space="preserve">.</w:t>
      </w:r>
    </w:p>
    <w:bookmarkEnd w:id="114"/>
    <w:bookmarkStart w:id="116" w:name="ref-isabelle_falque-pierrotin_3e_2021"/>
    <w:p>
      <w:pPr>
        <w:pStyle w:val="Bibliography"/>
      </w:pPr>
      <w:r>
        <w:t xml:space="preserve">Isabelle Falque-Pierrotin, Gérard Berry, Jean-Richard Cytermann, Max Dauchet, Jean-Marie Filloque, Catherine Moisan, Isabelle Roussel, and Guillaume Tronchet. 2021.</w:t>
      </w:r>
      <w:r>
        <w:t xml:space="preserve"> </w:t>
      </w:r>
      <w:r>
        <w:t xml:space="preserve">“3e Rapport Annuel Au</w:t>
      </w:r>
      <w:r>
        <w:t xml:space="preserve"> </w:t>
      </w:r>
      <w:r>
        <w:t xml:space="preserve">Parlement</w:t>
      </w:r>
      <w:r>
        <w:t xml:space="preserve"> </w:t>
      </w:r>
      <w:r>
        <w:t xml:space="preserve">Du</w:t>
      </w:r>
      <w:r>
        <w:t xml:space="preserve"> </w:t>
      </w:r>
      <w:r>
        <w:t xml:space="preserve">Comité</w:t>
      </w:r>
      <w:r>
        <w:t xml:space="preserve"> </w:t>
      </w:r>
      <w:r>
        <w:t xml:space="preserve">Éthique Et Scientifique de</w:t>
      </w:r>
      <w:r>
        <w:t xml:space="preserve"> </w:t>
      </w:r>
      <w:r>
        <w:t xml:space="preserve">Parcoursup</w:t>
      </w:r>
      <w:r>
        <w:t xml:space="preserve">:</w:t>
      </w:r>
      <w:r>
        <w:t xml:space="preserve"> </w:t>
      </w:r>
      <w:r>
        <w:t xml:space="preserve">Parcoursup</w:t>
      </w:r>
      <w:r>
        <w:t xml:space="preserve"> </w:t>
      </w:r>
      <w:r>
        <w:t xml:space="preserve">à La Croisée Des Chemins:”</w:t>
      </w:r>
      <w:r>
        <w:t xml:space="preserve"> Comité éthique et scientifique de Parcoursup.</w:t>
      </w:r>
      <w:r>
        <w:t xml:space="preserve"> </w:t>
      </w:r>
      <w:hyperlink r:id="rId115">
        <w:r>
          <w:rPr>
            <w:rStyle w:val="Hyperlink"/>
          </w:rPr>
          <w:t xml:space="preserve">https://cache.media.enseignementsup-recherche.gouv.fr/file/Parcoursup/21/0/Psup_comite_ethique_2021_1380210.pdf</w:t>
        </w:r>
      </w:hyperlink>
      <w:r>
        <w:t xml:space="preserve">.</w:t>
      </w:r>
    </w:p>
    <w:bookmarkEnd w:id="116"/>
    <w:bookmarkStart w:id="118" w:name="ref-juanico_rapport_2020"/>
    <w:p>
      <w:pPr>
        <w:pStyle w:val="Bibliography"/>
      </w:pPr>
      <w:r>
        <w:t xml:space="preserve">Juanico, RÉGIS, and NATHALIE Sarles. 2020.</w:t>
      </w:r>
      <w:r>
        <w:t xml:space="preserve"> </w:t>
      </w:r>
      <w:r>
        <w:t xml:space="preserve">“Rapport d’information Sur l’évaluation de l’accès à l’enseignement Supérieur.”</w:t>
      </w:r>
      <w:r>
        <w:t xml:space="preserve"> </w:t>
      </w:r>
      <w:r>
        <w:t xml:space="preserve">Assemblée nationale.</w:t>
      </w:r>
      <w:r>
        <w:t xml:space="preserve"> </w:t>
      </w:r>
      <w:hyperlink r:id="rId117">
        <w:r>
          <w:rPr>
            <w:rStyle w:val="Hyperlink"/>
          </w:rPr>
          <w:t xml:space="preserve">http://www.assemblee-nationale.fr/dyn/15/rapports/cec/l15b3232_rapport-information.pdf</w:t>
        </w:r>
      </w:hyperlink>
      <w:r>
        <w:t xml:space="preserve">.</w:t>
      </w:r>
    </w:p>
    <w:bookmarkEnd w:id="118"/>
    <w:bookmarkStart w:id="120" w:name="ref-julien_gossa_parcoursup_2020"/>
    <w:p>
      <w:pPr>
        <w:pStyle w:val="Bibliography"/>
      </w:pPr>
      <w:r>
        <w:t xml:space="preserve">Julien Gossa. 2020.</w:t>
      </w:r>
      <w:r>
        <w:t xml:space="preserve"> </w:t>
      </w:r>
      <w:r>
        <w:t xml:space="preserve">“Parcoursup : Le Bidonnage Continue.”</w:t>
      </w:r>
      <w:r>
        <w:t xml:space="preserve"> </w:t>
      </w:r>
      <w:r>
        <w:rPr>
          <w:iCs/>
          <w:i/>
        </w:rPr>
        <w:t xml:space="preserve">Docs En Stock : Dans Les Coulisses de La Démocratie Universitaire</w:t>
      </w:r>
      <w:r>
        <w:t xml:space="preserve">.</w:t>
      </w:r>
      <w:r>
        <w:t xml:space="preserve"> </w:t>
      </w:r>
      <w:hyperlink r:id="rId119">
        <w:r>
          <w:rPr>
            <w:rStyle w:val="Hyperlink"/>
          </w:rPr>
          <w:t xml:space="preserve">http://blog.educpros.fr/julien-gossa/2020/07/17/parcoursup-le-bidonnage-continue/</w:t>
        </w:r>
      </w:hyperlink>
      <w:r>
        <w:t xml:space="preserve">.</w:t>
      </w:r>
    </w:p>
    <w:bookmarkEnd w:id="120"/>
    <w:bookmarkStart w:id="122" w:name="ref-mizzi_gestion_2022"/>
    <w:p>
      <w:pPr>
        <w:pStyle w:val="Bibliography"/>
      </w:pPr>
      <w:r>
        <w:t xml:space="preserve">Mizzi, Alban. 2022.</w:t>
      </w:r>
      <w:r>
        <w:t xml:space="preserve"> </w:t>
      </w:r>
      <w:r>
        <w:t xml:space="preserve">“La Gestion Émotionnelle de</w:t>
      </w:r>
      <w:r>
        <w:t xml:space="preserve"> </w:t>
      </w:r>
      <w:r>
        <w:t xml:space="preserve">Parcoursup</w:t>
      </w:r>
      <w:r>
        <w:t xml:space="preserve">.</w:t>
      </w:r>
      <w:r>
        <w:t xml:space="preserve"> </w:t>
      </w:r>
      <w:r>
        <w:t xml:space="preserve">Une</w:t>
      </w:r>
      <w:r>
        <w:t xml:space="preserve"> </w:t>
      </w:r>
      <w:r>
        <w:t xml:space="preserve">Épreuve Entre Inégalités de Ressources Et d’incertitudes.”</w:t>
      </w:r>
      <w:r>
        <w:t xml:space="preserve"> </w:t>
      </w:r>
      <w:r>
        <w:rPr>
          <w:iCs/>
          <w:i/>
        </w:rPr>
        <w:t xml:space="preserve">L’orientation Scolaire Et Professionnelle</w:t>
      </w:r>
      <w:r>
        <w:t xml:space="preserve">, no. 51/1 (March): 137.</w:t>
      </w:r>
      <w:r>
        <w:t xml:space="preserve"> </w:t>
      </w:r>
      <w:hyperlink r:id="rId121">
        <w:r>
          <w:rPr>
            <w:rStyle w:val="Hyperlink"/>
          </w:rPr>
          <w:t xml:space="preserve">https://doi.org/10.4000/osp.15873</w:t>
        </w:r>
      </w:hyperlink>
      <w:r>
        <w:t xml:space="preserve">.</w:t>
      </w:r>
    </w:p>
    <w:bookmarkEnd w:id="122"/>
    <w:bookmarkStart w:id="124" w:name="ref-nagui_bechichi_dadmission_2021"/>
    <w:p>
      <w:pPr>
        <w:pStyle w:val="Bibliography"/>
      </w:pPr>
      <w:r>
        <w:t xml:space="preserve">Nagui Bechichi, Julien Grenet, and Georgia Thebault. 2021.</w:t>
      </w:r>
      <w:r>
        <w:t xml:space="preserve"> </w:t>
      </w:r>
      <w:r>
        <w:t xml:space="preserve">“D’</w:t>
      </w:r>
      <w:r>
        <w:t xml:space="preserve">Admission</w:t>
      </w:r>
      <w:r>
        <w:t xml:space="preserve"> </w:t>
      </w:r>
      <w:r>
        <w:t xml:space="preserve">Post‑bac à</w:t>
      </w:r>
      <w:r>
        <w:t xml:space="preserve"> </w:t>
      </w:r>
      <w:r>
        <w:t xml:space="preserve">Parcoursup</w:t>
      </w:r>
      <w:r>
        <w:t xml:space="preserve"> </w:t>
      </w:r>
      <w:r>
        <w:t xml:space="preserve">: Quels Effets Sur La Répartition Des Néo‑bacheliers Dans Les Formations d’enseignement Supérieur ?”</w:t>
      </w:r>
      <w:r>
        <w:t xml:space="preserve"> INSEE.</w:t>
      </w:r>
      <w:r>
        <w:t xml:space="preserve"> </w:t>
      </w:r>
      <w:hyperlink r:id="rId123">
        <w:r>
          <w:rPr>
            <w:rStyle w:val="Hyperlink"/>
          </w:rPr>
          <w:t xml:space="preserve">https://www.insee.fr/fr/statistiques/5432519?sommaire=5435421</w:t>
        </w:r>
      </w:hyperlink>
      <w:r>
        <w:t xml:space="preserve">.</w:t>
      </w:r>
    </w:p>
    <w:bookmarkEnd w:id="124"/>
    <w:bookmarkStart w:id="126" w:name="ref-noelle_lenoir_presidente_1er_2019"/>
    <w:p>
      <w:pPr>
        <w:pStyle w:val="Bibliography"/>
      </w:pPr>
      <w:r>
        <w:t xml:space="preserve">Noëlle Lenoir, présidente, Gérard Berry, vice-président, Max Dauchet, Julien Grenet, Laure Lucchesi, and Catherine Moisan. 2019.</w:t>
      </w:r>
      <w:r>
        <w:t xml:space="preserve"> </w:t>
      </w:r>
      <w:r>
        <w:t xml:space="preserve">“1er Rapport Annuel Au Parlement.”</w:t>
      </w:r>
      <w:r>
        <w:t xml:space="preserve"> </w:t>
      </w:r>
      <w:r>
        <w:t xml:space="preserve">Comité éthique et scientifique de Parcoursup.</w:t>
      </w:r>
      <w:r>
        <w:t xml:space="preserve"> </w:t>
      </w:r>
      <w:hyperlink r:id="rId125">
        <w:r>
          <w:rPr>
            <w:rStyle w:val="Hyperlink"/>
          </w:rPr>
          <w:t xml:space="preserve">https://services.dgesip.fr/fichiers/Rapport_du_CESP_1061363.pdf</w:t>
        </w:r>
      </w:hyperlink>
      <w:r>
        <w:t xml:space="preserve">.</w:t>
      </w:r>
    </w:p>
    <w:bookmarkEnd w:id="126"/>
    <w:bookmarkStart w:id="127" w:name="ref-wickham_ggplot2_2009"/>
    <w:p>
      <w:pPr>
        <w:pStyle w:val="Bibliography"/>
      </w:pPr>
      <w:r>
        <w:t xml:space="preserve">Wickham, Hadley. 2009.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Use</w:t>
      </w:r>
      <w:r>
        <w:t xml:space="preserve"> </w:t>
      </w:r>
      <w:r>
        <w:t xml:space="preserve">R</w:t>
      </w:r>
      <w:r>
        <w:t xml:space="preserve">! New York: Springer.</w:t>
      </w:r>
    </w:p>
    <w:bookmarkEnd w:id="127"/>
    <w:bookmarkStart w:id="128" w:name="ref-wilke_fundamentals_2019"/>
    <w:p>
      <w:pPr>
        <w:pStyle w:val="Bibliography"/>
      </w:pPr>
      <w:r>
        <w:t xml:space="preserve">Wilke, Claus. 2019.</w:t>
      </w:r>
      <w:r>
        <w:t xml:space="preserve"> </w:t>
      </w:r>
      <w:r>
        <w:rPr>
          <w:iCs/>
          <w:i/>
        </w:rPr>
        <w:t xml:space="preserve">Fundamentals of Data Visualization: A Primer on Making Informative and Compelling Figures</w:t>
      </w:r>
      <w:r>
        <w:t xml:space="preserve">. First edition. Beijing Boston Farnham Sebastopol Tokyo: O’Reilly.</w:t>
      </w:r>
    </w:p>
    <w:bookmarkEnd w:id="128"/>
    <w:bookmarkStart w:id="129" w:name="ref-xie_r_2019"/>
    <w:p>
      <w:pPr>
        <w:pStyle w:val="Bibliography"/>
      </w:pPr>
      <w:r>
        <w:t xml:space="preserve">Xie, Yihui, Joseph J. Allaire, and Garrett Grolemund. 2019.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Markdown</w:t>
      </w:r>
      <w:r>
        <w:rPr>
          <w:iCs/>
          <w:i/>
        </w:rPr>
        <w:t xml:space="preserve">: The Definitive Guide</w:t>
      </w:r>
      <w:r>
        <w:t xml:space="preserve">. Chapman &amp;</w:t>
      </w:r>
      <w:r>
        <w:t xml:space="preserve"> </w:t>
      </w:r>
      <w:r>
        <w:t xml:space="preserve">Hall</w:t>
      </w:r>
      <w:r>
        <w:t xml:space="preserve">/</w:t>
      </w:r>
      <w:r>
        <w:t xml:space="preserve">CRC</w:t>
      </w:r>
      <w:r>
        <w:t xml:space="preserve">, the</w:t>
      </w:r>
      <w:r>
        <w:t xml:space="preserve"> </w:t>
      </w:r>
      <w:r>
        <w:t xml:space="preserve">R</w:t>
      </w:r>
      <w:r>
        <w:t xml:space="preserve"> </w:t>
      </w:r>
      <w:r>
        <w:t xml:space="preserve">Series. Boca Raton London New York: CRC Press, Taylor &amp; Francis Group.</w:t>
      </w:r>
    </w:p>
    <w:bookmarkEnd w:id="129"/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https://www.legifrance.gouv.fr/codes/article_lc/LEGIARTI000042815027/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https://data.enseignementsup-recherche.gouv.fr/pages/home/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https://data.enseignementsup-recherche.gouv.fr/explore/dataset/fr-esr-parcoursup/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https://data.enseignementsup-recherche.gouv.fr/explore/dataset/fr-esr-parcoursup_2020/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https://data.enseignementsup-recherche.gouv.fr/explore/dataset/fr-esr-parcoursup-2019/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https://data.enseignementsup-recherche.gouv.fr/explore/dataset/fr-esr-parcoursup-2018/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https://data.enseignementsup-recherche.gouv.fr/explore/dataset/fr-esr-apb_voeux-et-admissions/</w:t>
        </w:r>
      </w:hyperlink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https://data.enseignementsup-recherche.gouv.fr/explore/dataset/fr-esr-taux-poursuite-enseignement-superieur-par-academie/</w:t>
        </w:r>
      </w:hyperlink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0">
        <w:r>
          <w:rPr>
            <w:rStyle w:val="Hyperlink"/>
          </w:rPr>
          <w:t xml:space="preserve">https://github.com/juliengossa/parcoursup/</w:t>
        </w:r>
      </w:hyperlink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https://github.com/cpesr/RFC/</w:t>
        </w:r>
      </w:hyperlink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Discours de Frédérique Vidal, ministre de l’Enseignement supérieur, de la Recherche et de l’Innovation;, Conférence de presse de rentrée 2021, mise en gras d’origine,</w:t>
      </w:r>
      <w:r>
        <w:t xml:space="preserve"> </w:t>
      </w:r>
      <w:hyperlink r:id="rId45">
        <w:r>
          <w:rPr>
            <w:rStyle w:val="Hyperlink"/>
          </w:rPr>
          <w:t xml:space="preserve">https://www.enseignementsup-recherche.gouv.fr/sites/default/files/2021-10/rentr-e-tudiante-2021---discours-de-fr-d-rique-vidal-30-septembre-2021--13061.pdf</w:t>
        </w:r>
      </w:hyperlink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0">
        <w:r>
          <w:rPr>
            <w:rStyle w:val="Hyperlink"/>
          </w:rPr>
          <w:t xml:space="preserve">https://www.enseignementsup-recherche.gouv.fr/sites/default/files/2022-09/etude-d-opinion-de-l-institut-ipsos-2022-24376.pdf</w:t>
        </w:r>
      </w:hyperlink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6">
        <w:r>
          <w:rPr>
            <w:rStyle w:val="Hyperlink"/>
          </w:rPr>
          <w:t xml:space="preserve">https://www.enseignementsup-recherche.gouv.fr/sites/default/files/imported_files/documents/NF_2016-17_-_APB_2016_673338.pdf</w:t>
        </w:r>
      </w:hyperlink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8">
        <w:r>
          <w:rPr>
            <w:rStyle w:val="Hyperlink"/>
          </w:rPr>
          <w:t xml:space="preserve">https://www.enseignementsup-recherche.gouv.fr/sites/default/files/2021-10/nf-sies-2021-22-14419.pdf</w:t>
        </w:r>
      </w:hyperlink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0">
        <w:r>
          <w:rPr>
            <w:rStyle w:val="Hyperlink"/>
          </w:rPr>
          <w:t xml:space="preserve">https://cache.media.enseignementsup-recherche.gouv.fr/file/mai_2018/61/9/Indicateurs23mai_952619.pdf</w:t>
        </w:r>
      </w:hyperlink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2">
        <w:r>
          <w:rPr>
            <w:rStyle w:val="Hyperlink"/>
          </w:rPr>
          <w:t xml:space="preserve">https://www.parcoursup.fr/tdb-indicateurs/Tableau_de_bord_Admission_2022-06-08.pdf</w:t>
        </w:r>
      </w:hyperlink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4">
        <w:r>
          <w:rPr>
            <w:rStyle w:val="Hyperlink"/>
          </w:rPr>
          <w:t xml:space="preserve">https://www.enseignementsup-recherche.gouv.fr/sites/default/files/2022-09/bilan-de-la-proc-dure-d-admission-2022-24379_0.pdf</w:t>
        </w:r>
      </w:hyperlink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5">
        <w:r>
          <w:rPr>
            <w:rStyle w:val="Hyperlink"/>
          </w:rPr>
          <w:t xml:space="preserve">https://data.enseignementsup-recherche.gouv.fr/api/datasets/1.0/fr-esr-parcoursup/attachments/methodologie_opendata_2022_pdf/</w:t>
        </w:r>
      </w:hyperlink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Alors que le nombre de vœux est limité à 10,</w:t>
      </w:r>
      <w:r>
        <w:t xml:space="preserve"> </w:t>
      </w:r>
      <w:r>
        <w:t xml:space="preserve">les candidats peuvent formulés jusqu’à 10 ou 20 vœux (selon les années) supplémentaires</w:t>
      </w:r>
      <w:r>
        <w:t xml:space="preserve"> </w:t>
      </w:r>
      <w:r>
        <w:t xml:space="preserve">dans des filières sélectives.</w:t>
      </w:r>
      <w:r>
        <w:t xml:space="preserve"> </w:t>
      </w:r>
      <w:hyperlink r:id="rId77">
        <w:r>
          <w:rPr>
            <w:rStyle w:val="Hyperlink"/>
          </w:rPr>
          <w:t xml:space="preserve">https://cache.media.eduscol.education.fr/file/flux_orientation/36/9/Fiche-4-Les-voeux-multiplesVD_888369.pdf</w:t>
        </w:r>
      </w:hyperlink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 constat invite également à supprimer la distinctions</w:t>
      </w:r>
      <w:r>
        <w:t xml:space="preserve"> </w:t>
      </w:r>
      <w:r>
        <w:t xml:space="preserve">légales entre « formations sélectives » et « non sélectives »,</w:t>
      </w:r>
      <w:r>
        <w:t xml:space="preserve"> </w:t>
      </w:r>
      <w:r>
        <w:t xml:space="preserve">comme le proposent déjà la Cour des comptes et le CESP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https://data.enseignementsup-recherche.gouv.fr/explore/dataset/fr-esr-taux-poursuite-enseignement-superieur-par-academie/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66" Target="media/rId66.png" /><Relationship Type="http://schemas.openxmlformats.org/officeDocument/2006/relationships/image" Id="rId84" Target="media/rId84.png" /><Relationship Type="http://schemas.openxmlformats.org/officeDocument/2006/relationships/image" Id="rId79" Target="media/rId79.png" /><Relationship Type="http://schemas.openxmlformats.org/officeDocument/2006/relationships/image" Id="rId71" Target="media/rId71.png" /><Relationship Type="http://schemas.openxmlformats.org/officeDocument/2006/relationships/image" Id="rId46" Target="media/rId46.png" /><Relationship Type="http://schemas.openxmlformats.org/officeDocument/2006/relationships/hyperlink" Id="rId119" Target="http://blog.educpros.fr/julien-gossa/2020/07/17/parcoursup-le-bidonnage-continue/" TargetMode="External" /><Relationship Type="http://schemas.openxmlformats.org/officeDocument/2006/relationships/hyperlink" Id="rId103" Target="http://cache.media.enseignementsup-recherche.gouv.fr/file/Actus/87/7/RAPPORT-_CSORE_1187877.pdf" TargetMode="External" /><Relationship Type="http://schemas.openxmlformats.org/officeDocument/2006/relationships/hyperlink" Id="rId98" Target="http://journals.openedition.org/sociologie/5451" TargetMode="External" /><Relationship Type="http://schemas.openxmlformats.org/officeDocument/2006/relationships/hyperlink" Id="rId117" Target="http://www.assemblee-nationale.fr/dyn/15/rapports/cec/l15b3232_rapport-information.pdf" TargetMode="External" /><Relationship Type="http://schemas.openxmlformats.org/officeDocument/2006/relationships/hyperlink" Id="rId77" Target="https://cache.media.eduscol.education.fr/file/flux_orientation/36/9/Fiche-4-Les-voeux-multiplesVD_888369.pdf" TargetMode="External" /><Relationship Type="http://schemas.openxmlformats.org/officeDocument/2006/relationships/hyperlink" Id="rId113" Target="https://cache.media.enseignementsup-recherche.gouv.fr/file/2020/28/9/Rapport_du_CESP_2019_(janvier_2020)_1227289.pdf" TargetMode="External" /><Relationship Type="http://schemas.openxmlformats.org/officeDocument/2006/relationships/hyperlink" Id="rId115" Target="https://cache.media.enseignementsup-recherche.gouv.fr/file/Parcoursup/21/0/Psup_comite_ethique_2021_1380210.pdf" TargetMode="External" /><Relationship Type="http://schemas.openxmlformats.org/officeDocument/2006/relationships/hyperlink" Id="rId60" Target="https://cache.media.enseignementsup-recherche.gouv.fr/file/mai_2018/61/9/Indicateurs23mai_952619.pdf" TargetMode="External" /><Relationship Type="http://schemas.openxmlformats.org/officeDocument/2006/relationships/hyperlink" Id="rId75" Target="https://data.enseignementsup-recherche.gouv.fr/api/datasets/1.0/fr-esr-parcoursup/attachments/methodologie_opendata_2022_pdf/" TargetMode="External" /><Relationship Type="http://schemas.openxmlformats.org/officeDocument/2006/relationships/hyperlink" Id="rId36" Target="https://data.enseignementsup-recherche.gouv.fr/explore/dataset/fr-esr-apb_voeux-et-admissions/" TargetMode="External" /><Relationship Type="http://schemas.openxmlformats.org/officeDocument/2006/relationships/hyperlink" Id="rId34" Target="https://data.enseignementsup-recherche.gouv.fr/explore/dataset/fr-esr-parcoursup-2018/" TargetMode="External" /><Relationship Type="http://schemas.openxmlformats.org/officeDocument/2006/relationships/hyperlink" Id="rId32" Target="https://data.enseignementsup-recherche.gouv.fr/explore/dataset/fr-esr-parcoursup-2019/" TargetMode="External" /><Relationship Type="http://schemas.openxmlformats.org/officeDocument/2006/relationships/hyperlink" Id="rId28" Target="https://data.enseignementsup-recherche.gouv.fr/explore/dataset/fr-esr-parcoursup/" TargetMode="External" /><Relationship Type="http://schemas.openxmlformats.org/officeDocument/2006/relationships/hyperlink" Id="rId30" Target="https://data.enseignementsup-recherche.gouv.fr/explore/dataset/fr-esr-parcoursup_2020/" TargetMode="External" /><Relationship Type="http://schemas.openxmlformats.org/officeDocument/2006/relationships/hyperlink" Id="rId38" Target="https://data.enseignementsup-recherche.gouv.fr/explore/dataset/fr-esr-taux-poursuite-enseignement-superieur-par-academie/" TargetMode="External" /><Relationship Type="http://schemas.openxmlformats.org/officeDocument/2006/relationships/hyperlink" Id="rId25" Target="https://data.enseignementsup-recherche.gouv.fr/pages/home/" TargetMode="External" /><Relationship Type="http://schemas.openxmlformats.org/officeDocument/2006/relationships/hyperlink" Id="rId109" Target="https://doi.org/10.3917/anso.202.0337" TargetMode="External" /><Relationship Type="http://schemas.openxmlformats.org/officeDocument/2006/relationships/hyperlink" Id="rId92" Target="https://doi.org/10.3917/anso.202.0443" TargetMode="External" /><Relationship Type="http://schemas.openxmlformats.org/officeDocument/2006/relationships/hyperlink" Id="rId90" Target="https://doi.org/10.3917/comm.163.0687" TargetMode="External" /><Relationship Type="http://schemas.openxmlformats.org/officeDocument/2006/relationships/hyperlink" Id="rId105" Target="https://doi.org/10.4000/edso.13048" TargetMode="External" /><Relationship Type="http://schemas.openxmlformats.org/officeDocument/2006/relationships/hyperlink" Id="rId121" Target="https://doi.org/10.4000/osp.15873" TargetMode="External" /><Relationship Type="http://schemas.openxmlformats.org/officeDocument/2006/relationships/hyperlink" Id="rId42" Target="https://github.com/cpesr/RFC/" TargetMode="External" /><Relationship Type="http://schemas.openxmlformats.org/officeDocument/2006/relationships/hyperlink" Id="rId40" Target="https://github.com/juliengossa/parcoursup/" TargetMode="External" /><Relationship Type="http://schemas.openxmlformats.org/officeDocument/2006/relationships/hyperlink" Id="rId125" Target="https://services.dgesip.fr/fichiers/Rapport_du_CESP_1061363.pdf" TargetMode="External" /><Relationship Type="http://schemas.openxmlformats.org/officeDocument/2006/relationships/hyperlink" Id="rId107" Target="https://www.cairn.info/revue-sociologie-2019-2-page-209.htm" TargetMode="External" /><Relationship Type="http://schemas.openxmlformats.org/officeDocument/2006/relationships/hyperlink" Id="rId94" Target="https://www.cairn.info/revue-sociologie-2019-2-page-217.htm" TargetMode="External" /><Relationship Type="http://schemas.openxmlformats.org/officeDocument/2006/relationships/hyperlink" Id="rId100" Target="https://www.ccomptes.fr/sites/default/files/2017-10/20171019-rapport-admission-post-bac_0.pdf" TargetMode="External" /><Relationship Type="http://schemas.openxmlformats.org/officeDocument/2006/relationships/hyperlink" Id="rId96" Target="https://www.education.gouv.fr/analyse-des-voeux-et-affectations-dans-l-enseignement-superieur-des-bacheliers-2021-apres-la-reforme-327062" TargetMode="External" /><Relationship Type="http://schemas.openxmlformats.org/officeDocument/2006/relationships/hyperlink" Id="rId58" Target="https://www.enseignementsup-recherche.gouv.fr/sites/default/files/2021-10/nf-sies-2021-22-14419.pdf" TargetMode="External" /><Relationship Type="http://schemas.openxmlformats.org/officeDocument/2006/relationships/hyperlink" Id="rId45" Target="https://www.enseignementsup-recherche.gouv.fr/sites/default/files/2021-10/rentr-e-tudiante-2021---discours-de-fr-d-rique-vidal-30-septembre-2021--13061.pdf" TargetMode="External" /><Relationship Type="http://schemas.openxmlformats.org/officeDocument/2006/relationships/hyperlink" Id="rId111" Target="https://www.enseignementsup-recherche.gouv.fr/sites/default/files/2022-02/rapport-cesp-2022-16793.pdf" TargetMode="External" /><Relationship Type="http://schemas.openxmlformats.org/officeDocument/2006/relationships/hyperlink" Id="rId64" Target="https://www.enseignementsup-recherche.gouv.fr/sites/default/files/2022-09/bilan-de-la-proc-dure-d-admission-2022-24379_0.pdf" TargetMode="External" /><Relationship Type="http://schemas.openxmlformats.org/officeDocument/2006/relationships/hyperlink" Id="rId50" Target="https://www.enseignementsup-recherche.gouv.fr/sites/default/files/2022-09/etude-d-opinion-de-l-institut-ipsos-2022-24376.pdf" TargetMode="External" /><Relationship Type="http://schemas.openxmlformats.org/officeDocument/2006/relationships/hyperlink" Id="rId56" Target="https://www.enseignementsup-recherche.gouv.fr/sites/default/files/imported_files/documents/NF_2016-17_-_APB_2016_673338.pdf" TargetMode="External" /><Relationship Type="http://schemas.openxmlformats.org/officeDocument/2006/relationships/hyperlink" Id="rId123" Target="https://www.insee.fr/fr/statistiques/5432519?sommaire=5435421" TargetMode="External" /><Relationship Type="http://schemas.openxmlformats.org/officeDocument/2006/relationships/hyperlink" Id="rId23" Target="https://www.legifrance.gouv.fr/codes/article_lc/LEGIARTI000042815027/" TargetMode="External" /><Relationship Type="http://schemas.openxmlformats.org/officeDocument/2006/relationships/hyperlink" Id="rId62" Target="https://www.parcoursup.fr/tdb-indicateurs/Tableau_de_bord_Admission_2022-06-08.pdf" TargetMode="External" /><Relationship Type="http://schemas.openxmlformats.org/officeDocument/2006/relationships/hyperlink" Id="rId21" Target="mailto:gossa@unistra.fr" TargetMode="External" /><Relationship Type="http://schemas.openxmlformats.org/officeDocument/2006/relationships/hyperlink" Id="rId20" Target="mailto:pauline.boyer@cnrs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blog.educpros.fr/julien-gossa/2020/07/17/parcoursup-le-bidonnage-continue/" TargetMode="External" /><Relationship Type="http://schemas.openxmlformats.org/officeDocument/2006/relationships/hyperlink" Id="rId103" Target="http://cache.media.enseignementsup-recherche.gouv.fr/file/Actus/87/7/RAPPORT-_CSORE_1187877.pdf" TargetMode="External" /><Relationship Type="http://schemas.openxmlformats.org/officeDocument/2006/relationships/hyperlink" Id="rId98" Target="http://journals.openedition.org/sociologie/5451" TargetMode="External" /><Relationship Type="http://schemas.openxmlformats.org/officeDocument/2006/relationships/hyperlink" Id="rId117" Target="http://www.assemblee-nationale.fr/dyn/15/rapports/cec/l15b3232_rapport-information.pdf" TargetMode="External" /><Relationship Type="http://schemas.openxmlformats.org/officeDocument/2006/relationships/hyperlink" Id="rId77" Target="https://cache.media.eduscol.education.fr/file/flux_orientation/36/9/Fiche-4-Les-voeux-multiplesVD_888369.pdf" TargetMode="External" /><Relationship Type="http://schemas.openxmlformats.org/officeDocument/2006/relationships/hyperlink" Id="rId113" Target="https://cache.media.enseignementsup-recherche.gouv.fr/file/2020/28/9/Rapport_du_CESP_2019_(janvier_2020)_1227289.pdf" TargetMode="External" /><Relationship Type="http://schemas.openxmlformats.org/officeDocument/2006/relationships/hyperlink" Id="rId115" Target="https://cache.media.enseignementsup-recherche.gouv.fr/file/Parcoursup/21/0/Psup_comite_ethique_2021_1380210.pdf" TargetMode="External" /><Relationship Type="http://schemas.openxmlformats.org/officeDocument/2006/relationships/hyperlink" Id="rId60" Target="https://cache.media.enseignementsup-recherche.gouv.fr/file/mai_2018/61/9/Indicateurs23mai_952619.pdf" TargetMode="External" /><Relationship Type="http://schemas.openxmlformats.org/officeDocument/2006/relationships/hyperlink" Id="rId75" Target="https://data.enseignementsup-recherche.gouv.fr/api/datasets/1.0/fr-esr-parcoursup/attachments/methodologie_opendata_2022_pdf/" TargetMode="External" /><Relationship Type="http://schemas.openxmlformats.org/officeDocument/2006/relationships/hyperlink" Id="rId36" Target="https://data.enseignementsup-recherche.gouv.fr/explore/dataset/fr-esr-apb_voeux-et-admissions/" TargetMode="External" /><Relationship Type="http://schemas.openxmlformats.org/officeDocument/2006/relationships/hyperlink" Id="rId34" Target="https://data.enseignementsup-recherche.gouv.fr/explore/dataset/fr-esr-parcoursup-2018/" TargetMode="External" /><Relationship Type="http://schemas.openxmlformats.org/officeDocument/2006/relationships/hyperlink" Id="rId32" Target="https://data.enseignementsup-recherche.gouv.fr/explore/dataset/fr-esr-parcoursup-2019/" TargetMode="External" /><Relationship Type="http://schemas.openxmlformats.org/officeDocument/2006/relationships/hyperlink" Id="rId28" Target="https://data.enseignementsup-recherche.gouv.fr/explore/dataset/fr-esr-parcoursup/" TargetMode="External" /><Relationship Type="http://schemas.openxmlformats.org/officeDocument/2006/relationships/hyperlink" Id="rId30" Target="https://data.enseignementsup-recherche.gouv.fr/explore/dataset/fr-esr-parcoursup_2020/" TargetMode="External" /><Relationship Type="http://schemas.openxmlformats.org/officeDocument/2006/relationships/hyperlink" Id="rId38" Target="https://data.enseignementsup-recherche.gouv.fr/explore/dataset/fr-esr-taux-poursuite-enseignement-superieur-par-academie/" TargetMode="External" /><Relationship Type="http://schemas.openxmlformats.org/officeDocument/2006/relationships/hyperlink" Id="rId25" Target="https://data.enseignementsup-recherche.gouv.fr/pages/home/" TargetMode="External" /><Relationship Type="http://schemas.openxmlformats.org/officeDocument/2006/relationships/hyperlink" Id="rId109" Target="https://doi.org/10.3917/anso.202.0337" TargetMode="External" /><Relationship Type="http://schemas.openxmlformats.org/officeDocument/2006/relationships/hyperlink" Id="rId92" Target="https://doi.org/10.3917/anso.202.0443" TargetMode="External" /><Relationship Type="http://schemas.openxmlformats.org/officeDocument/2006/relationships/hyperlink" Id="rId90" Target="https://doi.org/10.3917/comm.163.0687" TargetMode="External" /><Relationship Type="http://schemas.openxmlformats.org/officeDocument/2006/relationships/hyperlink" Id="rId105" Target="https://doi.org/10.4000/edso.13048" TargetMode="External" /><Relationship Type="http://schemas.openxmlformats.org/officeDocument/2006/relationships/hyperlink" Id="rId121" Target="https://doi.org/10.4000/osp.15873" TargetMode="External" /><Relationship Type="http://schemas.openxmlformats.org/officeDocument/2006/relationships/hyperlink" Id="rId42" Target="https://github.com/cpesr/RFC/" TargetMode="External" /><Relationship Type="http://schemas.openxmlformats.org/officeDocument/2006/relationships/hyperlink" Id="rId40" Target="https://github.com/juliengossa/parcoursup/" TargetMode="External" /><Relationship Type="http://schemas.openxmlformats.org/officeDocument/2006/relationships/hyperlink" Id="rId125" Target="https://services.dgesip.fr/fichiers/Rapport_du_CESP_1061363.pdf" TargetMode="External" /><Relationship Type="http://schemas.openxmlformats.org/officeDocument/2006/relationships/hyperlink" Id="rId107" Target="https://www.cairn.info/revue-sociologie-2019-2-page-209.htm" TargetMode="External" /><Relationship Type="http://schemas.openxmlformats.org/officeDocument/2006/relationships/hyperlink" Id="rId94" Target="https://www.cairn.info/revue-sociologie-2019-2-page-217.htm" TargetMode="External" /><Relationship Type="http://schemas.openxmlformats.org/officeDocument/2006/relationships/hyperlink" Id="rId100" Target="https://www.ccomptes.fr/sites/default/files/2017-10/20171019-rapport-admission-post-bac_0.pdf" TargetMode="External" /><Relationship Type="http://schemas.openxmlformats.org/officeDocument/2006/relationships/hyperlink" Id="rId96" Target="https://www.education.gouv.fr/analyse-des-voeux-et-affectations-dans-l-enseignement-superieur-des-bacheliers-2021-apres-la-reforme-327062" TargetMode="External" /><Relationship Type="http://schemas.openxmlformats.org/officeDocument/2006/relationships/hyperlink" Id="rId58" Target="https://www.enseignementsup-recherche.gouv.fr/sites/default/files/2021-10/nf-sies-2021-22-14419.pdf" TargetMode="External" /><Relationship Type="http://schemas.openxmlformats.org/officeDocument/2006/relationships/hyperlink" Id="rId45" Target="https://www.enseignementsup-recherche.gouv.fr/sites/default/files/2021-10/rentr-e-tudiante-2021---discours-de-fr-d-rique-vidal-30-septembre-2021--13061.pdf" TargetMode="External" /><Relationship Type="http://schemas.openxmlformats.org/officeDocument/2006/relationships/hyperlink" Id="rId111" Target="https://www.enseignementsup-recherche.gouv.fr/sites/default/files/2022-02/rapport-cesp-2022-16793.pdf" TargetMode="External" /><Relationship Type="http://schemas.openxmlformats.org/officeDocument/2006/relationships/hyperlink" Id="rId64" Target="https://www.enseignementsup-recherche.gouv.fr/sites/default/files/2022-09/bilan-de-la-proc-dure-d-admission-2022-24379_0.pdf" TargetMode="External" /><Relationship Type="http://schemas.openxmlformats.org/officeDocument/2006/relationships/hyperlink" Id="rId50" Target="https://www.enseignementsup-recherche.gouv.fr/sites/default/files/2022-09/etude-d-opinion-de-l-institut-ipsos-2022-24376.pdf" TargetMode="External" /><Relationship Type="http://schemas.openxmlformats.org/officeDocument/2006/relationships/hyperlink" Id="rId56" Target="https://www.enseignementsup-recherche.gouv.fr/sites/default/files/imported_files/documents/NF_2016-17_-_APB_2016_673338.pdf" TargetMode="External" /><Relationship Type="http://schemas.openxmlformats.org/officeDocument/2006/relationships/hyperlink" Id="rId123" Target="https://www.insee.fr/fr/statistiques/5432519?sommaire=5435421" TargetMode="External" /><Relationship Type="http://schemas.openxmlformats.org/officeDocument/2006/relationships/hyperlink" Id="rId23" Target="https://www.legifrance.gouv.fr/codes/article_lc/LEGIARTI000042815027/" TargetMode="External" /><Relationship Type="http://schemas.openxmlformats.org/officeDocument/2006/relationships/hyperlink" Id="rId62" Target="https://www.parcoursup.fr/tdb-indicateurs/Tableau_de_bord_Admission_2022-06-08.pdf" TargetMode="External" /><Relationship Type="http://schemas.openxmlformats.org/officeDocument/2006/relationships/hyperlink" Id="rId21" Target="mailto:gossa@unistra.fr" TargetMode="External" /><Relationship Type="http://schemas.openxmlformats.org/officeDocument/2006/relationships/hyperlink" Id="rId20" Target="mailto:pauline.boyer@cnrs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 si Parcoursup était compté</dc:title>
  <dc:creator>Pauline Boyer, pauline.boyer@cnrs.fr; Julien Gossa, gossa@unistra.fr; Université de Strasbourg</dc:creator>
  <cp:keywords/>
  <dcterms:created xsi:type="dcterms:W3CDTF">2023-01-30T20:17:01Z</dcterms:created>
  <dcterms:modified xsi:type="dcterms:W3CDTF">2023-01-30T20:17:01Z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20220630-Parcoursup.bib</vt:lpwstr>
  </property>
  <property fmtid="{D5CDD505-2E9C-101B-9397-08002B2CF9AE}" pid="3" name="output">
    <vt:lpwstr/>
  </property>
</Properties>
</file>