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df" ContentType="application/pdf"/>
  <Override PartName="/word/media/rId21.pdf" ContentType="application/pdf"/>
  <Override PartName="/word/media/rId25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Mesurer</w:t>
      </w:r>
      <w:r>
        <w:t xml:space="preserve"> </w:t>
      </w:r>
      <w:r>
        <w:t xml:space="preserve">la</w:t>
      </w:r>
      <w:r>
        <w:t xml:space="preserve"> </w:t>
      </w:r>
      <w:r>
        <w:t xml:space="preserve">précarité</w:t>
      </w:r>
      <w:r>
        <w:t xml:space="preserve"> </w:t>
      </w:r>
      <w:r>
        <w:t xml:space="preserve">dans</w:t>
      </w:r>
      <w:r>
        <w:t xml:space="preserve"> </w:t>
      </w:r>
      <w:r>
        <w:t xml:space="preserve">l’ESR</w:t>
      </w:r>
      <w:r>
        <w:t xml:space="preserve"> </w:t>
      </w:r>
      <w:r>
        <w:t xml:space="preserve">par</w:t>
      </w:r>
      <w:r>
        <w:t xml:space="preserve"> </w:t>
      </w:r>
      <w:r>
        <w:t xml:space="preserve">les</w:t>
      </w:r>
      <w:r>
        <w:t xml:space="preserve"> </w:t>
      </w:r>
      <w:r>
        <w:t xml:space="preserve">données</w:t>
      </w:r>
      <w:r>
        <w:t xml:space="preserve"> </w:t>
      </w:r>
      <w:r>
        <w:t xml:space="preserve">ouvertes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koRpus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Word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Sentence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 minutes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 minutes</w:t>
            </w:r>
          </w:p>
        </w:tc>
      </w:tr>
    </w:tbl>
    <w:p>
      <w:pPr>
        <w:pStyle w:val="BodyText"/>
      </w:pPr>
      <w:r>
        <w:t xml:space="preserve">Depuis plusieurs années, l’Enseignement supérieur et la recherche (ESR) voient</w:t>
      </w:r>
      <w:r>
        <w:t xml:space="preserve"> </w:t>
      </w:r>
      <w:r>
        <w:t xml:space="preserve">leurs professions se précariser. Les personnels eux-mêmes sont contraints de recourir</w:t>
      </w:r>
      <w:r>
        <w:t xml:space="preserve"> </w:t>
      </w:r>
      <w:r>
        <w:t xml:space="preserve">à des collègues contractuels ou vacataires pour faire fonctionner leurs enseignements,</w:t>
      </w:r>
      <w:r>
        <w:t xml:space="preserve"> </w:t>
      </w:r>
      <w:r>
        <w:t xml:space="preserve">recherches et services. Mais comment peut-on mesurer cette précariser ?</w:t>
      </w:r>
    </w:p>
    <w:bookmarkStart w:id="20" w:name="Xbfab52b3266d35da818e1b0e4e3bffae24bf450"/>
    <w:p>
      <w:pPr>
        <w:pStyle w:val="Heading2"/>
      </w:pPr>
      <w:r>
        <w:t xml:space="preserve">Des efforts de transparence considérables, une mesure difficile</w:t>
      </w:r>
    </w:p>
    <w:p>
      <w:pPr>
        <w:pStyle w:val="FirstParagraph"/>
      </w:pPr>
      <w:r>
        <w:t xml:space="preserve">Malgré des efforts remarquables, sans doute de niveau international, pour consolider</w:t>
      </w:r>
      <w:r>
        <w:t xml:space="preserve"> </w:t>
      </w:r>
      <w:r>
        <w:t xml:space="preserve">et publier les données de l’ESR, la précarité reste dans une zone d’ombre.</w:t>
      </w:r>
      <w:r>
        <w:t xml:space="preserve"> </w:t>
      </w:r>
      <w:r>
        <w:t xml:space="preserve">En raison, deux difficultés majeures.</w:t>
      </w:r>
    </w:p>
    <w:p>
      <w:pPr>
        <w:pStyle w:val="BodyText"/>
      </w:pPr>
      <w:r>
        <w:t xml:space="preserve">La première est que la précarité se situe</w:t>
      </w:r>
      <w:r>
        <w:t xml:space="preserve"> </w:t>
      </w:r>
      <w:r>
        <w:t xml:space="preserve">à la frontière de ce que connait l’administration, en particulier centrale :</w:t>
      </w:r>
      <w:r>
        <w:t xml:space="preserve"> </w:t>
      </w:r>
      <w:r>
        <w:t xml:space="preserve">alors que chaque fonctionnaire titulaire est compté et catégorisé avec diligence,</w:t>
      </w:r>
      <w:r>
        <w:t xml:space="preserve"> </w:t>
      </w:r>
      <w:r>
        <w:t xml:space="preserve">les contractuels s’éparpillent entre les contrats et structures.</w:t>
      </w:r>
      <w:r>
        <w:t xml:space="preserve"> </w:t>
      </w:r>
      <w:r>
        <w:t xml:space="preserve">Compter les vacataires est difficile, puisque leur gestion est au niveau le plus</w:t>
      </w:r>
      <w:r>
        <w:t xml:space="preserve"> </w:t>
      </w:r>
      <w:r>
        <w:t xml:space="preserve">local. Compter les contractuels est en partie impossible, lorsque leur gestion</w:t>
      </w:r>
      <w:r>
        <w:t xml:space="preserve"> </w:t>
      </w:r>
      <w:r>
        <w:t xml:space="preserve">relève d’une structure de droit privé, comme les filiales des universités.</w:t>
      </w:r>
    </w:p>
    <w:p>
      <w:pPr>
        <w:pStyle w:val="BodyText"/>
      </w:pPr>
      <w:r>
        <w:t xml:space="preserve">La seconde difficulté tient à la diversité des situations des personnels contractuels,</w:t>
      </w:r>
      <w:r>
        <w:t xml:space="preserve"> </w:t>
      </w:r>
      <w:r>
        <w:t xml:space="preserve">dans lesquels on peut trouver les collègues les plus précaires, comme les collègues</w:t>
      </w:r>
      <w:r>
        <w:t xml:space="preserve"> </w:t>
      </w:r>
      <w:r>
        <w:t xml:space="preserve">les mieux payés.</w:t>
      </w:r>
    </w:p>
    <w:p>
      <w:pPr>
        <w:pStyle w:val="BodyText"/>
      </w:pPr>
      <w:r>
        <w:t xml:space="preserve">Les mesures présentées ici doivent donc être prise avec la plus grande des prudences.</w:t>
      </w:r>
    </w:p>
    <w:bookmarkEnd w:id="20"/>
    <w:bookmarkStart w:id="24" w:name="des-situations-contrastées"/>
    <w:p>
      <w:pPr>
        <w:pStyle w:val="Heading2"/>
      </w:pPr>
      <w:r>
        <w:t xml:space="preserve">Des situations contrastées</w:t>
      </w:r>
    </w:p>
    <w:p>
      <w:pPr>
        <w:pStyle w:val="FirstParagraph"/>
      </w:pPr>
      <w:r>
        <w:t xml:space="preserve">Si on s’en tient aux données ouvertes (donc à l’exclusion notable des vacataires et</w:t>
      </w:r>
      <w:r>
        <w:t xml:space="preserve"> </w:t>
      </w:r>
      <w:r>
        <w:t xml:space="preserve">doctorants non finances),</w:t>
      </w:r>
      <w:r>
        <w:t xml:space="preserve"> </w:t>
      </w:r>
      <w:r>
        <w:t xml:space="preserve">nous pouvons obtenir une mesure basse du taux de titularité, pour différentes</w:t>
      </w:r>
      <w:r>
        <w:t xml:space="preserve"> </w:t>
      </w:r>
      <w:r>
        <w:t xml:space="preserve">catégorie de personnel, BIATSS, E-EC et dans les ONR. On observe ainsi que, dans</w:t>
      </w:r>
      <w:r>
        <w:t xml:space="preserve"> </w:t>
      </w:r>
      <w:r>
        <w:t xml:space="preserve">la majorité des cas, entre 50% et 25% des personnels références sont contractuels :</w:t>
      </w:r>
      <w:r>
        <w:t xml:space="preserve"> </w:t>
      </w:r>
      <w:r>
        <w:t xml:space="preserve">plus de 50% dans les ONR, environ 40% des BIATSS et 30% des E-EC.</w:t>
      </w:r>
    </w:p>
    <w:p>
      <w:pPr>
        <w:pStyle w:val="BodyText"/>
      </w:pPr>
      <w:r>
        <w:drawing>
          <wp:inline>
            <wp:extent cx="5334000" cy="29950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rticle_files/figure-docx/tauxtit-1.pdf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Le taux de titularité qu’on peut percevoir au travers des données ouvertes</w:t>
      </w:r>
      <w:r>
        <w:rPr>
          <w:iCs/>
          <w:i/>
        </w:rPr>
        <w:t xml:space="preserve"> </w:t>
      </w:r>
      <w:r>
        <w:rPr>
          <w:iCs/>
          <w:i/>
        </w:rPr>
        <w:t xml:space="preserve">(donc à l’exclusion notable des vacataires et doctorants non financés) montre</w:t>
      </w:r>
      <w:r>
        <w:rPr>
          <w:iCs/>
          <w:i/>
        </w:rPr>
        <w:t xml:space="preserve"> </w:t>
      </w:r>
      <w:r>
        <w:rPr>
          <w:iCs/>
          <w:i/>
        </w:rPr>
        <w:t xml:space="preserve">un nombre de contractuels allant généralement de 50% à 25% de tous les personnels.</w:t>
      </w:r>
    </w:p>
    <w:bookmarkEnd w:id="24"/>
    <w:bookmarkStart w:id="28" w:name="des-évolutions-également-contrastées"/>
    <w:p>
      <w:pPr>
        <w:pStyle w:val="Heading2"/>
      </w:pPr>
      <w:r>
        <w:t xml:space="preserve">Des évolutions également contrastées</w:t>
      </w:r>
    </w:p>
    <w:p>
      <w:pPr>
        <w:pStyle w:val="FirstParagraph"/>
      </w:pPr>
      <w:r>
        <w:t xml:space="preserve">Les données ouvertes permettent également d’observer l’évolution dans le temps</w:t>
      </w:r>
      <w:r>
        <w:t xml:space="preserve"> </w:t>
      </w:r>
      <w:r>
        <w:t xml:space="preserve">des taux de titularité. On constate ainsi que, sur 5 ans, la titularité dans les</w:t>
      </w:r>
      <w:r>
        <w:t xml:space="preserve"> </w:t>
      </w:r>
      <w:r>
        <w:t xml:space="preserve">ONR a baissé d’un point et demi, celle des BIATSS d’un point et celle des E-EC de</w:t>
      </w:r>
      <w:r>
        <w:t xml:space="preserve"> </w:t>
      </w:r>
      <w:r>
        <w:t xml:space="preserve">près de 3 points. On constate également des trajectoire assez différentes, même</w:t>
      </w:r>
      <w:r>
        <w:t xml:space="preserve"> </w:t>
      </w:r>
      <w:r>
        <w:t xml:space="preserve">si toutes rejoignent la même pente dans cette période.</w:t>
      </w:r>
    </w:p>
    <w:p>
      <w:pPr>
        <w:pStyle w:val="BodyText"/>
      </w:pPr>
      <w:r>
        <w:drawing>
          <wp:inline>
            <wp:extent cx="5334000" cy="29950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tauxtit.evol-1.pdf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L’évolution des taux de titularité montre une baisse dans tous les grands corps</w:t>
      </w:r>
      <w:r>
        <w:rPr>
          <w:iCs/>
          <w:i/>
        </w:rPr>
        <w:t xml:space="preserve"> </w:t>
      </w:r>
      <w:r>
        <w:rPr>
          <w:iCs/>
          <w:i/>
        </w:rPr>
        <w:t xml:space="preserve">de personnel sur 5 ans : -1 point pour les BIATSS, -1,7 points pour les ONR, et -2,7 points pour les E-EC.</w:t>
      </w:r>
    </w:p>
    <w:bookmarkEnd w:id="28"/>
    <w:bookmarkStart w:id="32" w:name="X9310872b453ad76382ed49d1929da3f75a288c1"/>
    <w:p>
      <w:pPr>
        <w:pStyle w:val="Heading2"/>
      </w:pPr>
      <w:r>
        <w:t xml:space="preserve">Une mesure plus fine : la précarité de la mission d’enseignement</w:t>
      </w:r>
    </w:p>
    <w:p>
      <w:pPr>
        <w:pStyle w:val="FirstParagraph"/>
      </w:pPr>
      <w:r>
        <w:t xml:space="preserve">Une autre façon de mesurer la précarité est de ne pas s’intéresser aux personnels</w:t>
      </w:r>
      <w:r>
        <w:t xml:space="preserve"> </w:t>
      </w:r>
      <w:r>
        <w:t xml:space="preserve">mais à leurs missions. C’est notamment possible avec les heures d’enseignement,</w:t>
      </w:r>
      <w:r>
        <w:t xml:space="preserve"> </w:t>
      </w:r>
      <w:r>
        <w:t xml:space="preserve">répertoriées dans les rapports sociaux uniques (ex bilans sociaux) des établissements.</w:t>
      </w:r>
    </w:p>
    <w:p>
      <w:pPr>
        <w:pStyle w:val="BodyText"/>
      </w:pPr>
      <w:r>
        <w:t xml:space="preserve">Si l’on prend l’exemple de l’Université de Strasbourg, entre 2013 et 2020, nous</w:t>
      </w:r>
      <w:r>
        <w:t xml:space="preserve"> </w:t>
      </w:r>
      <w:r>
        <w:t xml:space="preserve">pouvons observer une relative stagnation des heures en service (-4%), une hausse</w:t>
      </w:r>
      <w:r>
        <w:t xml:space="preserve"> </w:t>
      </w:r>
      <w:r>
        <w:t xml:space="preserve">notable des heures de vacations (+10%) et une explosion des heures complémentaires</w:t>
      </w:r>
      <w:r>
        <w:t xml:space="preserve"> </w:t>
      </w:r>
      <w:r>
        <w:t xml:space="preserve">(+40%). On peut y voir une politique de bonne gestion budgétaire, les heures</w:t>
      </w:r>
      <w:r>
        <w:t xml:space="preserve"> </w:t>
      </w:r>
      <w:r>
        <w:t xml:space="preserve">complémentaires étant les moins chères disponibles. On peut également y lire la</w:t>
      </w:r>
      <w:r>
        <w:t xml:space="preserve"> </w:t>
      </w:r>
      <w:r>
        <w:t xml:space="preserve">mise en œuvre d’une politique de modulation des services volontaire.</w:t>
      </w:r>
    </w:p>
    <w:p>
      <w:pPr>
        <w:pStyle w:val="BodyText"/>
      </w:pPr>
      <w:r>
        <w:drawing>
          <wp:inline>
            <wp:extent cx="5334000" cy="299508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h.hc-1.pdf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Depuis 2013, les heures d’enseignement à l’Université de Strasbourg ont suivi</w:t>
      </w:r>
      <w:r>
        <w:rPr>
          <w:iCs/>
          <w:i/>
        </w:rPr>
        <w:t xml:space="preserve"> </w:t>
      </w:r>
      <w:r>
        <w:rPr>
          <w:iCs/>
          <w:i/>
        </w:rPr>
        <w:t xml:space="preserve">trois trajectoire différentes : baisse des heures de service (-4%), hausse</w:t>
      </w:r>
      <w:r>
        <w:rPr>
          <w:iCs/>
          <w:i/>
        </w:rPr>
        <w:t xml:space="preserve"> </w:t>
      </w:r>
      <w:r>
        <w:rPr>
          <w:iCs/>
          <w:i/>
        </w:rPr>
        <w:t xml:space="preserve">des heures de vacations (+10%) et explosion des heures complémentaires</w:t>
      </w:r>
      <w:r>
        <w:rPr>
          <w:iCs/>
          <w:i/>
        </w:rPr>
        <w:t xml:space="preserve"> </w:t>
      </w:r>
      <w:r>
        <w:rPr>
          <w:iCs/>
          <w:i/>
        </w:rPr>
        <w:t xml:space="preserve">(+40%).</w:t>
      </w:r>
    </w:p>
    <w:bookmarkEnd w:id="32"/>
    <w:bookmarkStart w:id="3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Si la précarité dans l’ESR est difficile à mesurer par les données ouvertes, un</w:t>
      </w:r>
      <w:r>
        <w:t xml:space="preserve"> </w:t>
      </w:r>
      <w:r>
        <w:t xml:space="preserve">calcul imparfait des taux de titularité indique tout de même une baisse</w:t>
      </w:r>
      <w:r>
        <w:t xml:space="preserve"> </w:t>
      </w:r>
      <w:r>
        <w:t xml:space="preserve">différenciée mais généralisée.</w:t>
      </w:r>
      <w:r>
        <w:t xml:space="preserve"> </w:t>
      </w:r>
      <w:r>
        <w:t xml:space="preserve">Des mesures de politiques locales sont également possible en s’intéressant aux missions.</w:t>
      </w:r>
    </w:p>
    <w:p>
      <w:pPr>
        <w:pStyle w:val="BodyText"/>
      </w:pPr>
      <w:r>
        <w:t xml:space="preserve">Ces mesures nécessitent un travail de fourmis pour collecter les données.</w:t>
      </w:r>
      <w:r>
        <w:t xml:space="preserve"> </w:t>
      </w:r>
      <w:r>
        <w:t xml:space="preserve">Pourtant, la loi de 2016 pour une république numérique</w:t>
      </w:r>
      <w:r>
        <w:t xml:space="preserve"> </w:t>
      </w:r>
      <w:r>
        <w:t xml:space="preserve">oblige les établissement à « publier en ligne » ces données « dans un standard</w:t>
      </w:r>
      <w:r>
        <w:t xml:space="preserve"> </w:t>
      </w:r>
      <w:r>
        <w:t xml:space="preserve">ouvert, aisément réutilisable et exploitable par un système de traitement automatisé ».</w:t>
      </w:r>
      <w:r>
        <w:t xml:space="preserve"> </w:t>
      </w:r>
      <w:r>
        <w:t xml:space="preserve">Il est peut-être temps que nos élus dans les Conseils fassent respecter cette obligation.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df" /><Relationship Type="http://schemas.openxmlformats.org/officeDocument/2006/relationships/image" Id="rId21" Target="media/rId21.pdf" /><Relationship Type="http://schemas.openxmlformats.org/officeDocument/2006/relationships/image" Id="rId25" Target="media/rId25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Mesurer la précarité dans l’ESR par les données ouvertes</dc:title>
  <dc:creator/>
  <cp:keywords/>
  <dcterms:created xsi:type="dcterms:W3CDTF">2022-10-23T13:29:07Z</dcterms:created>
  <dcterms:modified xsi:type="dcterms:W3CDTF">2022-10-23T13:29:07Z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