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 xml:space="preserve">SGI INFORMATIQUE — Contrat </w:t>
      </w:r>
      <w:r>
        <w:rPr>
          <w:rFonts w:ascii="Arial" w:hAnsi="Arial"/>
          <w:b/>
          <w:color w:val="CC0000"/>
          <w:sz w:val="20"/>
        </w:rPr>
        <w:t>«LibCodePrestation»</w:t>
      </w:r>
      <w:r>
        <w:rPr>
          <w:rFonts w:ascii="Arial" w:hAnsi="Arial"/>
          <w:b w:val="0"/>
          <w:color w:val="1F4E79"/>
          <w:sz w:val="26"/>
        </w:rPr>
        <w:t xml:space="preserve"> — </w:t>
      </w:r>
      <w:r>
        <w:rPr>
          <w:rFonts w:ascii="Arial" w:hAnsi="Arial"/>
          <w:b/>
          <w:color w:val="CC0000"/>
          <w:sz w:val="20"/>
        </w:rPr>
        <w:t>«NoContrat»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«AdresseClient»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«CPClient»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«VilleClient»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color w:val="CC0000"/>
                <w:sz w:val="20"/>
              </w:rPr>
              <w:t>«SIRETClient»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Tél : </w:t>
            </w:r>
            <w:r>
              <w:rPr>
                <w:rFonts w:ascii="Arial" w:hAnsi="Arial"/>
                <w:b/>
                <w:color w:val="CC0000"/>
                <w:sz w:val="20"/>
              </w:rPr>
              <w:t>«TelClient»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Email : </w:t>
            </w:r>
            <w:r>
              <w:rPr>
                <w:rFonts w:ascii="Arial" w:hAnsi="Arial"/>
                <w:b/>
                <w:color w:val="CC0000"/>
                <w:sz w:val="20"/>
              </w:rPr>
              <w:t>«EmailClient»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Référence : </w:t>
      </w:r>
      <w:r>
        <w:rPr>
          <w:rFonts w:ascii="Arial" w:hAnsi="Arial"/>
          <w:b/>
          <w:color w:val="CC0000"/>
          <w:sz w:val="20"/>
        </w:rPr>
        <w:t>«NoContrat»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color w:val="CC0000"/>
          <w:sz w:val="20"/>
        </w:rPr>
        <w:t>«DateDoc»</w:t>
      </w:r>
    </w:p>
    <w:p>
      <w:r>
        <w:rPr>
          <w:rFonts w:ascii="Arial" w:hAnsi="Arial"/>
          <w:b w:val="0"/>
          <w:sz w:val="20"/>
        </w:rPr>
        <w:t xml:space="preserve">Code instance : </w:t>
      </w:r>
      <w:r>
        <w:rPr>
          <w:rFonts w:ascii="Arial" w:hAnsi="Arial"/>
          <w:b/>
          <w:color w:val="CC0000"/>
          <w:sz w:val="20"/>
        </w:rPr>
        <w:t>«CodeInstance»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  <w:b w:val="0"/>
          <w:sz w:val="20"/>
        </w:rPr>
        <w:t xml:space="preserve">Abonnement/maintenance des progiciels Cosoluce. Progiciel principal : </w:t>
      </w:r>
      <w:r>
        <w:rPr>
          <w:rFonts w:ascii="Arial" w:hAnsi="Arial"/>
          <w:b/>
          <w:color w:val="CC0000"/>
          <w:sz w:val="20"/>
        </w:rPr>
        <w:t>«Progiciel1»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color w:val="CC0000"/>
          <w:sz w:val="20"/>
        </w:rPr>
        <w:t>«DateDebut»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color w:val="CC0000"/>
          <w:sz w:val="20"/>
        </w:rPr>
        <w:t>«DateFin»</w:t>
      </w:r>
      <w:r>
        <w:rPr>
          <w:rFonts w:ascii="Arial" w:hAnsi="Arial"/>
          <w:b w:val="0"/>
          <w:sz w:val="20"/>
        </w:rPr>
        <w:t>. Reconduction annuelle tacite sauf dénonciation 3 mois avant échéance.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CONDITIONS FINANCIÈRES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«Progiciel1»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«PrixProgiciel1»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«Progiciel2»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«PrixProgiciel2»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«MontantHT»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rPr>
          <w:rFonts w:ascii="Arial" w:hAnsi="Arial"/>
          <w:b w:val="0"/>
          <w:sz w:val="20"/>
        </w:rPr>
        <w:t xml:space="preserve">Première facturation le </w:t>
      </w:r>
      <w:r>
        <w:rPr>
          <w:rFonts w:ascii="Arial" w:hAnsi="Arial"/>
          <w:b/>
          <w:color w:val="CC0000"/>
          <w:sz w:val="20"/>
        </w:rPr>
        <w:t>«DatePremFactu»</w:t>
      </w:r>
      <w:r>
        <w:rPr>
          <w:rFonts w:ascii="Arial" w:hAnsi="Arial"/>
          <w:b w:val="0"/>
          <w:sz w:val="20"/>
        </w:rPr>
        <w:t>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RÉVISION</w:t>
      </w:r>
    </w:p>
    <w:p>
      <w:r>
        <w:rPr>
          <w:rFonts w:ascii="Arial" w:hAnsi="Arial"/>
        </w:rPr>
        <w:t>Révision annuelle Syntec Août : Prix N = Prix N-1 × (Août N-1 / Août N-2).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PRESTATIONS</w:t>
      </w:r>
    </w:p>
    <w:p>
      <w:r>
        <w:rPr>
          <w:rFonts w:ascii="Arial" w:hAnsi="Arial"/>
        </w:rPr>
        <w:t>MAJ réglementaires, assistance téléphonique heures ouvrables, hotline N1/N2, hébergement sécurisé France.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RÉSILIATION</w:t>
      </w:r>
    </w:p>
    <w:p>
      <w:r>
        <w:rPr>
          <w:rFonts w:ascii="Arial" w:hAnsi="Arial"/>
        </w:rPr>
        <w:t>Préavis 3 mois par lettre recommandée avant échéance annuelle.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CONFIDENTIALITÉ</w:t>
      </w:r>
    </w:p>
    <w:p>
      <w:r>
        <w:rPr>
          <w:rFonts w:ascii="Arial" w:hAnsi="Arial"/>
        </w:rPr>
        <w:t>Chaque partie garde confidentiels les documents de l’autre partie.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8 — RGPD</w:t>
      </w:r>
    </w:p>
    <w:p>
      <w:r>
        <w:rPr>
          <w:rFonts w:ascii="Arial" w:hAnsi="Arial"/>
          <w:b/>
          <w:color w:val="CC0000"/>
          <w:sz w:val="20"/>
        </w:rPr>
        <w:t>«NomClient»</w:t>
      </w:r>
      <w:r>
        <w:rPr>
          <w:rFonts w:ascii="Arial" w:hAnsi="Arial"/>
          <w:b w:val="0"/>
          <w:sz w:val="20"/>
        </w:rPr>
        <w:t xml:space="preserve"> est Responsable de traitement. SGI est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9 — DROIT APPLICABLE</w:t>
      </w:r>
    </w:p>
    <w:p>
      <w:r>
        <w:rPr>
          <w:rFonts w:ascii="Arial" w:hAnsi="Arial"/>
        </w:rPr>
        <w:t>Tribunal de Commerce de Lille compétent.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«DateDoc»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>Signature et cachet — « lu et approuvé »</w:t>
            </w:r>
          </w:p>
          <w:p>
            <w:r>
              <w:rPr>
                <w:rFonts w:ascii="Arial" w:hAnsi="Arial"/>
                <w:b/>
                <w:color w:val="CC0000"/>
                <w:sz w:val="20"/>
              </w:rPr>
              <w:t>«NomSignataire»</w:t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color w:val="CC0000"/>
                <w:sz w:val="20"/>
              </w:rPr>
              <w:t>«QualiteSignataire»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1 — Détail des progiciels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color w:val="CC0000"/>
          <w:sz w:val="20"/>
        </w:rPr>
        <w:t>«LibCodePrestation»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color w:val="CC0000"/>
          <w:sz w:val="20"/>
        </w:rPr>
        <w:t>«NoContrat»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Progiciel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Prix HT/an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«Progiciel1»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«DescriptionProgiciel1»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«PrixProgiciel1»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«Progiciel2»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«DescriptionProgiciel2»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«PrixProgiciel2»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«TotalHT»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2 — Collectivités rattachées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color w:val="CC0000"/>
          <w:sz w:val="20"/>
        </w:rPr>
        <w:t>«LibCodePrestation»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color w:val="CC0000"/>
          <w:sz w:val="20"/>
        </w:rPr>
        <w:t>«NoContrat»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Réf. site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Nom de la collectivité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«COL1IdSite»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«COL1NomSite»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«COL2IdSite»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«COL2NomSite»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«COL3IdSite»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«COL3NomSite»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«COL4IdSite»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«COL4NomSite»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«COL5IdSite»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«COL5NomSite»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«COL6IdSite»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«COL6NomSite»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«COL7IdSite»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«COL7NomSite»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«COL8IdSite»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«COL8NomSite»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«COL9IdSite»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«COL9NomSite»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«COL10IdSite»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CC0000"/>
                <w:sz w:val="20"/>
              </w:rPr>
              <w:t>«COL10NomSite»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3 — RGPD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color w:val="CC0000"/>
          <w:sz w:val="20"/>
        </w:rPr>
        <w:t>«LibCodePrestation»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color w:val="CC0000"/>
          <w:sz w:val="20"/>
        </w:rPr>
        <w:t>«NoContrat»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1. Rôles</w:t>
      </w:r>
    </w:p>
    <w:p>
      <w:r>
        <w:rPr>
          <w:rFonts w:ascii="Arial" w:hAnsi="Arial"/>
          <w:b/>
          <w:color w:val="CC0000"/>
          <w:sz w:val="20"/>
        </w:rPr>
        <w:t>«NomClient»</w:t>
      </w:r>
      <w:r>
        <w:rPr>
          <w:rFonts w:ascii="Arial" w:hAnsi="Arial"/>
          <w:b w:val="0"/>
          <w:sz w:val="20"/>
        </w:rPr>
        <w:t xml:space="preserve"> : Responsable de traitement. SGI :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2. Finalités</w:t>
      </w:r>
    </w:p>
    <w:p>
      <w:r>
        <w:rPr>
          <w:rFonts w:ascii="Arial" w:hAnsi="Arial"/>
        </w:rPr>
        <w:t>Traitement des données uniquement pour l’exécution du contrat.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3. Sécurité</w:t>
      </w:r>
    </w:p>
    <w:p>
      <w:r>
        <w:rPr>
          <w:rFonts w:ascii="Arial" w:hAnsi="Arial"/>
        </w:rPr>
        <w:t>Mesures techniques et organisationnelles appropriées mises en oeuvre par SGI.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color w:val="CC0000"/>
          <w:sz w:val="20"/>
        </w:rPr>
        <w:t>«DateSignature»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