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047"/>
          <w:sz w:val="56"/>
        </w:rPr>
        <w:t>PRODUCT ROADMAP, DISCOVERY &amp; DELIVERY</w:t>
      </w:r>
    </w:p>
    <w:p>
      <w:pPr>
        <w:jc w:val="center"/>
      </w:pPr>
      <w:r>
        <w:rPr>
          <w:color w:val="00787D"/>
          <w:sz w:val="32"/>
        </w:rPr>
        <w:t>Executive Alignment Playbook for a SaaS Product Organization</w:t>
      </w:r>
    </w:p>
    <w:p>
      <w:pPr>
        <w:jc w:val="center"/>
      </w:pPr>
      <w:r>
        <w:rPr>
          <w:sz w:val="22"/>
        </w:rPr>
        <w:t>How to align the CEO, CTO and Head of Sales on direction, discovery maturity, delivery certainty and customer commitments</w:t>
      </w:r>
    </w:p>
    <w:p>
      <w:r>
        <w:br/>
      </w:r>
    </w:p>
    <w:tbl>
      <w:tblPr>
        <w:tblW w:type="auto" w:w="0"/>
        <w:jc w:val="center"/>
        <w:tblLook w:firstColumn="1" w:firstRow="1" w:lastColumn="0" w:lastRow="0" w:noHBand="0" w:noVBand="1" w:val="04A0"/>
      </w:tblPr>
      <w:tblGrid>
        <w:gridCol w:w="10166"/>
      </w:tblGrid>
      <w:tr>
        <w:tc>
          <w:tcPr>
            <w:tcW w:type="dxa" w:w="10166"/>
            <w:shd w:fill="EAF4F4"/>
            <w:vAlign w:val="center"/>
          </w:tcPr>
          <w:p>
            <w:r/>
            <w:r>
              <w:rPr>
                <w:b/>
                <w:color w:val="123047"/>
                <w:sz w:val="24"/>
              </w:rPr>
              <w:t>Core proposition</w:t>
              <w:br/>
              <w:br/>
              <w:t>One source of truth. Different questions. Different levels of certainty.</w:t>
              <w:br/>
              <w:br/>
              <w:t>The roadmap communicates strategic intent and sequencing. Discovery maturity communicates what we know. The delivery plan communicates when sufficiently mature work is forecast to ship. A customer commitment is a separate, explicit decision.</w:t>
            </w:r>
          </w:p>
        </w:tc>
      </w:tr>
    </w:tbl>
    <w:p>
      <w:pPr>
        <w:jc w:val="center"/>
      </w:pPr>
      <w:r>
        <w:br/>
        <w:t>Prepared for executive alignment | September 2026</w:t>
      </w:r>
    </w:p>
    <w:p>
      <w:r>
        <w:br w:type="page"/>
      </w:r>
    </w:p>
    <w:p>
      <w:pPr>
        <w:pStyle w:val="Heading1"/>
      </w:pPr>
      <w:r>
        <w:t>Executive summary</w:t>
      </w:r>
    </w:p>
    <w:p>
      <w:r>
        <w:t>The organization does not primarily have a roadmap-definition problem. It has a certainty-contract problem. Product, Engineering, the CEO and Sales are using the same quarterly JPD view to answer different questions: where to invest, how mature an initiative is, and when customers will actually receive it. Those questions require connected but distinct management artifacts.</w:t>
      </w:r>
    </w:p>
    <w:tbl>
      <w:tblPr>
        <w:tblStyle w:val="TableGrid"/>
        <w:tblW w:type="auto" w:w="0"/>
        <w:jc w:val="center"/>
        <w:tblLook w:firstColumn="1" w:firstRow="1" w:lastColumn="0" w:lastRow="0" w:noHBand="0" w:noVBand="1" w:val="04A0"/>
      </w:tblPr>
      <w:tblGrid>
        <w:gridCol w:w="3389"/>
        <w:gridCol w:w="3389"/>
        <w:gridCol w:w="3389"/>
      </w:tblGrid>
      <w:tr>
        <w:tc>
          <w:tcPr>
            <w:tcW w:type="dxa" w:w="3168"/>
            <w:vAlign w:val="center"/>
            <w:shd w:fill="123047"/>
          </w:tcPr>
          <w:p>
            <w:r/>
            <w:r>
              <w:rPr>
                <w:b/>
                <w:color w:val="FFFFFF"/>
                <w:sz w:val="17"/>
              </w:rPr>
              <w:t>Question</w:t>
            </w:r>
          </w:p>
        </w:tc>
        <w:tc>
          <w:tcPr>
            <w:tcW w:type="dxa" w:w="2592"/>
            <w:vAlign w:val="center"/>
            <w:shd w:fill="123047"/>
          </w:tcPr>
          <w:p>
            <w:r/>
            <w:r>
              <w:rPr>
                <w:b/>
                <w:color w:val="FFFFFF"/>
                <w:sz w:val="17"/>
              </w:rPr>
              <w:t>Primary artifact</w:t>
            </w:r>
          </w:p>
        </w:tc>
        <w:tc>
          <w:tcPr>
            <w:tcW w:type="dxa" w:w="4896"/>
            <w:vAlign w:val="center"/>
            <w:shd w:fill="123047"/>
          </w:tcPr>
          <w:p>
            <w:r/>
            <w:r>
              <w:rPr>
                <w:b/>
                <w:color w:val="FFFFFF"/>
                <w:sz w:val="17"/>
              </w:rPr>
              <w:t>What it should answer</w:t>
            </w:r>
          </w:p>
        </w:tc>
      </w:tr>
      <w:tr>
        <w:tc>
          <w:tcPr>
            <w:tcW w:type="dxa" w:w="3168"/>
            <w:vAlign w:val="center"/>
          </w:tcPr>
          <w:p>
            <w:r/>
            <w:r>
              <w:rPr>
                <w:b w:val="0"/>
                <w:sz w:val="17"/>
              </w:rPr>
              <w:t>Where are we investing and why?</w:t>
            </w:r>
          </w:p>
        </w:tc>
        <w:tc>
          <w:tcPr>
            <w:tcW w:type="dxa" w:w="2592"/>
            <w:vAlign w:val="center"/>
          </w:tcPr>
          <w:p>
            <w:r/>
            <w:r>
              <w:rPr>
                <w:b w:val="0"/>
                <w:sz w:val="17"/>
              </w:rPr>
              <w:t>Product roadmap</w:t>
            </w:r>
          </w:p>
        </w:tc>
        <w:tc>
          <w:tcPr>
            <w:tcW w:type="dxa" w:w="4896"/>
            <w:vAlign w:val="center"/>
          </w:tcPr>
          <w:p>
            <w:r/>
            <w:r>
              <w:rPr>
                <w:b w:val="0"/>
                <w:sz w:val="17"/>
              </w:rPr>
              <w:t>Goals, themes, product bets, priority and intended sequencing.</w:t>
            </w:r>
          </w:p>
        </w:tc>
      </w:tr>
      <w:tr>
        <w:tc>
          <w:tcPr>
            <w:tcW w:type="dxa" w:w="3168"/>
            <w:vAlign w:val="center"/>
          </w:tcPr>
          <w:p>
            <w:r/>
            <w:r>
              <w:rPr>
                <w:b w:val="0"/>
                <w:sz w:val="17"/>
              </w:rPr>
              <w:t>How much do we know?</w:t>
            </w:r>
          </w:p>
        </w:tc>
        <w:tc>
          <w:tcPr>
            <w:tcW w:type="dxa" w:w="2592"/>
            <w:vAlign w:val="center"/>
          </w:tcPr>
          <w:p>
            <w:r/>
            <w:r>
              <w:rPr>
                <w:b w:val="0"/>
                <w:sz w:val="17"/>
              </w:rPr>
              <w:t>Discovery/readiness</w:t>
            </w:r>
          </w:p>
        </w:tc>
        <w:tc>
          <w:tcPr>
            <w:tcW w:type="dxa" w:w="4896"/>
            <w:vAlign w:val="center"/>
          </w:tcPr>
          <w:p>
            <w:r/>
            <w:r>
              <w:rPr>
                <w:b w:val="0"/>
                <w:sz w:val="17"/>
              </w:rPr>
              <w:t>Problem/solution evidence, PRD/prototype/technical validation and Artefact Ready status.</w:t>
            </w:r>
          </w:p>
        </w:tc>
      </w:tr>
      <w:tr>
        <w:tc>
          <w:tcPr>
            <w:tcW w:type="dxa" w:w="3168"/>
            <w:vAlign w:val="center"/>
          </w:tcPr>
          <w:p>
            <w:r/>
            <w:r>
              <w:rPr>
                <w:b w:val="0"/>
                <w:sz w:val="17"/>
              </w:rPr>
              <w:t>When will it actually ship?</w:t>
            </w:r>
          </w:p>
        </w:tc>
        <w:tc>
          <w:tcPr>
            <w:tcW w:type="dxa" w:w="2592"/>
            <w:vAlign w:val="center"/>
          </w:tcPr>
          <w:p>
            <w:r/>
            <w:r>
              <w:rPr>
                <w:b w:val="0"/>
                <w:sz w:val="17"/>
              </w:rPr>
              <w:t>Delivery / release plan</w:t>
            </w:r>
          </w:p>
        </w:tc>
        <w:tc>
          <w:tcPr>
            <w:tcW w:type="dxa" w:w="4896"/>
            <w:vAlign w:val="center"/>
          </w:tcPr>
          <w:p>
            <w:r/>
            <w:r>
              <w:rPr>
                <w:b w:val="0"/>
                <w:sz w:val="17"/>
              </w:rPr>
              <w:t>Scope, dependencies, capacity, milestones, forecast window and confidence.</w:t>
            </w:r>
          </w:p>
        </w:tc>
      </w:tr>
      <w:tr>
        <w:tc>
          <w:tcPr>
            <w:tcW w:type="dxa" w:w="3168"/>
            <w:vAlign w:val="center"/>
          </w:tcPr>
          <w:p>
            <w:r/>
            <w:r>
              <w:rPr>
                <w:b w:val="0"/>
                <w:sz w:val="17"/>
              </w:rPr>
              <w:t>What may Sales promise externally?</w:t>
            </w:r>
          </w:p>
        </w:tc>
        <w:tc>
          <w:tcPr>
            <w:tcW w:type="dxa" w:w="2592"/>
            <w:vAlign w:val="center"/>
          </w:tcPr>
          <w:p>
            <w:r/>
            <w:r>
              <w:rPr>
                <w:b w:val="0"/>
                <w:sz w:val="17"/>
              </w:rPr>
              <w:t>Commercial commitment policy</w:t>
            </w:r>
          </w:p>
        </w:tc>
        <w:tc>
          <w:tcPr>
            <w:tcW w:type="dxa" w:w="4896"/>
            <w:vAlign w:val="center"/>
          </w:tcPr>
          <w:p>
            <w:r/>
            <w:r>
              <w:rPr>
                <w:b w:val="0"/>
                <w:sz w:val="17"/>
              </w:rPr>
              <w:t>What can be discussed as vision, planned, forecast or committed.</w:t>
            </w:r>
          </w:p>
        </w:tc>
      </w:tr>
    </w:tbl>
    <w:p/>
    <w:p>
      <w:r>
        <w:t>Your current JPD model already contains core roadmap elements: goals, themes, solutions/product bets, quarterly sequencing, discovery maturity and an Artefact Ready endpoint. Atlassian explicitly positions Jira Product Discovery as a prioritization and roadmapping tool, where ideas can be problems, opportunities or potential solutions that are still being validated, and where committed ideas transition into Jira delivery work.¹²³</w:t>
      </w:r>
    </w:p>
    <w:p>
      <w:r>
        <w:t>The recommended change is therefore not to replace JPD. It is to establish an explicit operating contract around what a quarter means, what Artefact Ready means, when an item becomes Committed, and how delivery forecasts are communicated to the CEO and Sales.</w:t>
      </w:r>
    </w:p>
    <w:p>
      <w:pPr>
        <w:pStyle w:val="Heading1"/>
      </w:pPr>
      <w:r>
        <w:t>1. What a product roadmap is — and is not</w:t>
      </w:r>
    </w:p>
    <w:tbl>
      <w:tblPr>
        <w:tblStyle w:val="TableGrid"/>
        <w:tblW w:type="auto" w:w="0"/>
        <w:jc w:val="center"/>
        <w:tblLook w:firstColumn="1" w:firstRow="1" w:lastColumn="0" w:lastRow="0" w:noHBand="0" w:noVBand="1" w:val="04A0"/>
      </w:tblPr>
      <w:tblGrid>
        <w:gridCol w:w="3389"/>
        <w:gridCol w:w="3389"/>
        <w:gridCol w:w="3389"/>
      </w:tblGrid>
      <w:tr>
        <w:tc>
          <w:tcPr>
            <w:tcW w:type="dxa" w:w="3600"/>
            <w:vAlign w:val="center"/>
            <w:shd w:fill="123047"/>
          </w:tcPr>
          <w:p>
            <w:r/>
            <w:r>
              <w:rPr>
                <w:b/>
                <w:color w:val="FFFFFF"/>
                <w:sz w:val="17"/>
              </w:rPr>
              <w:t>Roadmap</w:t>
            </w:r>
          </w:p>
        </w:tc>
        <w:tc>
          <w:tcPr>
            <w:tcW w:type="dxa" w:w="3600"/>
            <w:vAlign w:val="center"/>
            <w:shd w:fill="123047"/>
          </w:tcPr>
          <w:p>
            <w:r/>
            <w:r>
              <w:rPr>
                <w:b/>
                <w:color w:val="FFFFFF"/>
                <w:sz w:val="17"/>
              </w:rPr>
              <w:t>Discovery / readiness</w:t>
            </w:r>
          </w:p>
        </w:tc>
        <w:tc>
          <w:tcPr>
            <w:tcW w:type="dxa" w:w="3600"/>
            <w:vAlign w:val="center"/>
            <w:shd w:fill="123047"/>
          </w:tcPr>
          <w:p>
            <w:r/>
            <w:r>
              <w:rPr>
                <w:b/>
                <w:color w:val="FFFFFF"/>
                <w:sz w:val="17"/>
              </w:rPr>
              <w:t>Delivery / release plan</w:t>
            </w:r>
          </w:p>
        </w:tc>
      </w:tr>
      <w:tr>
        <w:tc>
          <w:tcPr>
            <w:tcW w:type="dxa" w:w="3600"/>
            <w:vAlign w:val="center"/>
          </w:tcPr>
          <w:p>
            <w:r/>
            <w:r>
              <w:rPr>
                <w:b w:val="0"/>
                <w:sz w:val="17"/>
              </w:rPr>
              <w:t>Strategic direction and prioritization</w:t>
            </w:r>
          </w:p>
        </w:tc>
        <w:tc>
          <w:tcPr>
            <w:tcW w:type="dxa" w:w="3600"/>
            <w:vAlign w:val="center"/>
          </w:tcPr>
          <w:p>
            <w:r/>
            <w:r>
              <w:rPr>
                <w:b w:val="0"/>
                <w:sz w:val="17"/>
              </w:rPr>
              <w:t>Evidence and solution maturity</w:t>
            </w:r>
          </w:p>
        </w:tc>
        <w:tc>
          <w:tcPr>
            <w:tcW w:type="dxa" w:w="3600"/>
            <w:vAlign w:val="center"/>
          </w:tcPr>
          <w:p>
            <w:r/>
            <w:r>
              <w:rPr>
                <w:b w:val="0"/>
                <w:sz w:val="17"/>
              </w:rPr>
              <w:t>Execution and delivery forecast</w:t>
            </w:r>
          </w:p>
        </w:tc>
      </w:tr>
      <w:tr>
        <w:tc>
          <w:tcPr>
            <w:tcW w:type="dxa" w:w="3600"/>
            <w:vAlign w:val="center"/>
          </w:tcPr>
          <w:p>
            <w:r/>
            <w:r>
              <w:rPr>
                <w:b w:val="0"/>
                <w:sz w:val="17"/>
              </w:rPr>
              <w:t>Quarterly or horizon-based sequencing</w:t>
            </w:r>
          </w:p>
        </w:tc>
        <w:tc>
          <w:tcPr>
            <w:tcW w:type="dxa" w:w="3600"/>
            <w:vAlign w:val="center"/>
          </w:tcPr>
          <w:p>
            <w:r/>
            <w:r>
              <w:rPr>
                <w:b w:val="0"/>
                <w:sz w:val="17"/>
              </w:rPr>
              <w:t>Continuous / stage-based</w:t>
            </w:r>
          </w:p>
        </w:tc>
        <w:tc>
          <w:tcPr>
            <w:tcW w:type="dxa" w:w="3600"/>
            <w:vAlign w:val="center"/>
          </w:tcPr>
          <w:p>
            <w:r/>
            <w:r>
              <w:rPr>
                <w:b w:val="0"/>
                <w:sz w:val="17"/>
              </w:rPr>
              <w:t>Near-term milestones and date ranges</w:t>
            </w:r>
          </w:p>
        </w:tc>
      </w:tr>
      <w:tr>
        <w:tc>
          <w:tcPr>
            <w:tcW w:type="dxa" w:w="3600"/>
            <w:vAlign w:val="center"/>
          </w:tcPr>
          <w:p>
            <w:r/>
            <w:r>
              <w:rPr>
                <w:b w:val="0"/>
                <w:sz w:val="17"/>
              </w:rPr>
              <w:t>Can include immature bets</w:t>
            </w:r>
          </w:p>
        </w:tc>
        <w:tc>
          <w:tcPr>
            <w:tcW w:type="dxa" w:w="3600"/>
            <w:vAlign w:val="center"/>
          </w:tcPr>
          <w:p>
            <w:r/>
            <w:r>
              <w:rPr>
                <w:b w:val="0"/>
                <w:sz w:val="17"/>
              </w:rPr>
              <w:t>Explicitly exposes uncertainty</w:t>
            </w:r>
          </w:p>
        </w:tc>
        <w:tc>
          <w:tcPr>
            <w:tcW w:type="dxa" w:w="3600"/>
            <w:vAlign w:val="center"/>
          </w:tcPr>
          <w:p>
            <w:r/>
            <w:r>
              <w:rPr>
                <w:b w:val="0"/>
                <w:sz w:val="17"/>
              </w:rPr>
              <w:t>Requires sufficient maturity to forecast</w:t>
            </w:r>
          </w:p>
        </w:tc>
      </w:tr>
      <w:tr>
        <w:tc>
          <w:tcPr>
            <w:tcW w:type="dxa" w:w="3600"/>
            <w:vAlign w:val="center"/>
          </w:tcPr>
          <w:p>
            <w:r/>
            <w:r>
              <w:rPr>
                <w:b w:val="0"/>
                <w:sz w:val="17"/>
              </w:rPr>
              <w:t>Changes as strategy/evidence changes</w:t>
            </w:r>
          </w:p>
        </w:tc>
        <w:tc>
          <w:tcPr>
            <w:tcW w:type="dxa" w:w="3600"/>
            <w:vAlign w:val="center"/>
          </w:tcPr>
          <w:p>
            <w:r/>
            <w:r>
              <w:rPr>
                <w:b w:val="0"/>
                <w:sz w:val="17"/>
              </w:rPr>
              <w:t>Reduces uncertainty</w:t>
            </w:r>
          </w:p>
        </w:tc>
        <w:tc>
          <w:tcPr>
            <w:tcW w:type="dxa" w:w="3600"/>
            <w:vAlign w:val="center"/>
          </w:tcPr>
          <w:p>
            <w:r/>
            <w:r>
              <w:rPr>
                <w:b w:val="0"/>
                <w:sz w:val="17"/>
              </w:rPr>
              <w:t>Changes as execution reality changes</w:t>
            </w:r>
          </w:p>
        </w:tc>
      </w:tr>
      <w:tr>
        <w:tc>
          <w:tcPr>
            <w:tcW w:type="dxa" w:w="3600"/>
            <w:vAlign w:val="center"/>
          </w:tcPr>
          <w:p>
            <w:r/>
            <w:r>
              <w:rPr>
                <w:b w:val="0"/>
                <w:sz w:val="17"/>
              </w:rPr>
              <w:t>Not automatically a promise</w:t>
            </w:r>
          </w:p>
        </w:tc>
        <w:tc>
          <w:tcPr>
            <w:tcW w:type="dxa" w:w="3600"/>
            <w:vAlign w:val="center"/>
          </w:tcPr>
          <w:p>
            <w:r/>
            <w:r>
              <w:rPr>
                <w:b w:val="0"/>
                <w:sz w:val="17"/>
              </w:rPr>
              <w:t>Not a delivery date</w:t>
            </w:r>
          </w:p>
        </w:tc>
        <w:tc>
          <w:tcPr>
            <w:tcW w:type="dxa" w:w="3600"/>
            <w:vAlign w:val="center"/>
          </w:tcPr>
          <w:p>
            <w:r/>
            <w:r>
              <w:rPr>
                <w:b w:val="0"/>
                <w:sz w:val="17"/>
              </w:rPr>
              <w:t>Primary source for delivery-date confidence</w:t>
            </w:r>
          </w:p>
        </w:tc>
      </w:tr>
    </w:tbl>
    <w:p>
      <w:pPr>
        <w:pStyle w:val="Heading2"/>
      </w:pPr>
      <w:r>
        <w:t>Research-based definition</w:t>
      </w:r>
    </w:p>
    <w:p>
      <w:r>
        <w:t>Across Atlassian, Productboard and Aha!, the terminology varies slightly, but the core definition is consistent: a product roadmap is a strategic planning and communication artifact that connects product direction and priorities to a time horizon and shows how the product is expected to evolve. Atlassian calls it a shared source of truth for the product’s vision, direction, priorities and progress over time. Productboard similarly positions the roadmap as the layer that communicates vision, direction and prioritized plans, one level above the execution-level release plan. Aha! describes the product roadmap as a tool for visualizing high-level strategy and plans across the product lifecycle.¹⁰ ¹¹ ¹²</w:t>
      </w:r>
    </w:p>
    <w:p>
      <w:pPr/>
      <w:r>
        <w:t>For this organization, use the following operational definition:</w:t>
      </w:r>
    </w:p>
    <w:p>
      <w:pPr/>
      <w:r>
        <w:rPr>
          <w:b/>
        </w:rPr>
        <w:t>A PRODUCT ROADMAP is the current, prioritized and time-oriented expression of how we intend to advance the product strategy. It explains WHY we are investing, WHAT outcomes/problems/bets we are prioritizing, and the approximate sequence or horizon in which we intend to pursue them. It is a living plan whose certainty can vary by horizon and maturity.</w:t>
      </w:r>
    </w:p>
    <w:p>
      <w:pPr>
        <w:pStyle w:val="Heading2"/>
      </w:pPr>
      <w:r>
        <w:t>Minimum characteristics of a roadmap</w:t>
      </w:r>
    </w:p>
    <w:tbl>
      <w:tblPr>
        <w:tblStyle w:val="TableGrid"/>
        <w:tblW w:type="auto" w:w="0"/>
        <w:tblLook w:firstColumn="1" w:firstRow="1" w:lastColumn="0" w:lastRow="0" w:noHBand="0" w:noVBand="1" w:val="04A0"/>
      </w:tblPr>
      <w:tblGrid>
        <w:gridCol w:w="3389"/>
        <w:gridCol w:w="3389"/>
        <w:gridCol w:w="3389"/>
      </w:tblGrid>
      <w:tr>
        <w:tc>
          <w:tcPr>
            <w:tcW w:type="dxa" w:w="3389"/>
            <w:shd w:fill="E8EEF7"/>
          </w:tcPr>
          <w:p>
            <w:r>
              <w:rPr>
                <w:b/>
              </w:rPr>
              <w:t>Characteristic</w:t>
            </w:r>
          </w:p>
        </w:tc>
        <w:tc>
          <w:tcPr>
            <w:tcW w:type="dxa" w:w="3389"/>
            <w:shd w:fill="E8EEF7"/>
          </w:tcPr>
          <w:p>
            <w:r>
              <w:rPr>
                <w:b/>
              </w:rPr>
              <w:t>What it must answer</w:t>
            </w:r>
          </w:p>
        </w:tc>
        <w:tc>
          <w:tcPr>
            <w:tcW w:type="dxa" w:w="3389"/>
            <w:shd w:fill="E8EEF7"/>
          </w:tcPr>
          <w:p>
            <w:r>
              <w:rPr>
                <w:b/>
              </w:rPr>
              <w:t>Evidence from research</w:t>
            </w:r>
          </w:p>
        </w:tc>
      </w:tr>
      <w:tr>
        <w:tc>
          <w:tcPr>
            <w:tcW w:type="dxa" w:w="3389"/>
          </w:tcPr>
          <w:p>
            <w:r>
              <w:t>Strategic linkage</w:t>
            </w:r>
          </w:p>
        </w:tc>
        <w:tc>
          <w:tcPr>
            <w:tcW w:type="dxa" w:w="3389"/>
          </w:tcPr>
          <w:p>
            <w:r>
              <w:t>Why are we doing this? Which goals/outcomes does it support?</w:t>
            </w:r>
          </w:p>
        </w:tc>
        <w:tc>
          <w:tcPr>
            <w:tcW w:type="dxa" w:w="3389"/>
          </w:tcPr>
          <w:p>
            <w:r>
              <w:t>Atlassian says roadmap items should link to product strategy and goals; Productboard emphasizes the rationale and objectives behind planned work.¹⁰ ¹¹</w:t>
            </w:r>
          </w:p>
        </w:tc>
      </w:tr>
      <w:tr>
        <w:tc>
          <w:tcPr>
            <w:tcW w:type="dxa" w:w="3389"/>
          </w:tcPr>
          <w:p>
            <w:r>
              <w:t>Prioritization</w:t>
            </w:r>
          </w:p>
        </w:tc>
        <w:tc>
          <w:tcPr>
            <w:tcW w:type="dxa" w:w="3389"/>
          </w:tcPr>
          <w:p>
            <w:r>
              <w:t>What matters more, and what have we chosen to invest in?</w:t>
            </w:r>
          </w:p>
        </w:tc>
        <w:tc>
          <w:tcPr>
            <w:tcW w:type="dxa" w:w="3389"/>
          </w:tcPr>
          <w:p>
            <w:r>
              <w:t>Atlassian describes roadmaps as communicating priorities; Productboard describes prioritized plans as a core roadmap function.¹⁰ ¹¹</w:t>
            </w:r>
          </w:p>
        </w:tc>
      </w:tr>
      <w:tr>
        <w:tc>
          <w:tcPr>
            <w:tcW w:type="dxa" w:w="3389"/>
          </w:tcPr>
          <w:p>
            <w:r>
              <w:t>Product direction / planned evolution</w:t>
            </w:r>
          </w:p>
        </w:tc>
        <w:tc>
          <w:tcPr>
            <w:tcW w:type="dxa" w:w="3389"/>
          </w:tcPr>
          <w:p>
            <w:r>
              <w:t>What problems, opportunities, initiatives or solution bets do we expect to pursue?</w:t>
            </w:r>
          </w:p>
        </w:tc>
        <w:tc>
          <w:tcPr>
            <w:tcW w:type="dxa" w:w="3389"/>
          </w:tcPr>
          <w:p>
            <w:r>
              <w:t>All three sources describe the roadmap as communicating how the product will evolve and the major work or initiatives that advance the strategy.¹⁰ ¹¹ ¹²</w:t>
            </w:r>
          </w:p>
        </w:tc>
      </w:tr>
      <w:tr>
        <w:tc>
          <w:tcPr>
            <w:tcW w:type="dxa" w:w="3389"/>
          </w:tcPr>
          <w:p>
            <w:r>
              <w:t>Time or sequencing</w:t>
            </w:r>
          </w:p>
        </w:tc>
        <w:tc>
          <w:tcPr>
            <w:tcW w:type="dxa" w:w="3389"/>
          </w:tcPr>
          <w:p>
            <w:r>
              <w:t>In what approximate order or horizon?</w:t>
            </w:r>
          </w:p>
        </w:tc>
        <w:tc>
          <w:tcPr>
            <w:tcW w:type="dxa" w:w="3389"/>
          </w:tcPr>
          <w:p>
            <w:r>
              <w:t>Atlassian recommends larger time buckets such as months or quarters for agile roadmaps; Productboard distinguishes broad roadmap timeframes from specific release dates.¹³ ¹⁴</w:t>
            </w:r>
          </w:p>
        </w:tc>
      </w:tr>
      <w:tr>
        <w:tc>
          <w:tcPr>
            <w:tcW w:type="dxa" w:w="3389"/>
          </w:tcPr>
          <w:p>
            <w:r>
              <w:t>Progress / status</w:t>
            </w:r>
          </w:p>
        </w:tc>
        <w:tc>
          <w:tcPr>
            <w:tcW w:type="dxa" w:w="3389"/>
          </w:tcPr>
          <w:p>
            <w:r>
              <w:t>Where are we now and how is the plan evolving?</w:t>
            </w:r>
          </w:p>
        </w:tc>
        <w:tc>
          <w:tcPr>
            <w:tcW w:type="dxa" w:w="3389"/>
          </w:tcPr>
          <w:p>
            <w:r>
              <w:t>Atlassian includes progress in its core definition; Aha! recommends status to communicate current state.¹⁰ ¹⁵</w:t>
            </w:r>
          </w:p>
        </w:tc>
      </w:tr>
      <w:tr>
        <w:tc>
          <w:tcPr>
            <w:tcW w:type="dxa" w:w="3389"/>
          </w:tcPr>
          <w:p>
            <w:r>
              <w:t>Adaptability</w:t>
            </w:r>
          </w:p>
        </w:tc>
        <w:tc>
          <w:tcPr>
            <w:tcW w:type="dxa" w:w="3389"/>
          </w:tcPr>
          <w:p>
            <w:r>
              <w:t>Can the plan change when evidence or priorities change?</w:t>
            </w:r>
          </w:p>
        </w:tc>
        <w:tc>
          <w:tcPr>
            <w:tcW w:type="dxa" w:w="3389"/>
          </w:tcPr>
          <w:p>
            <w:r>
              <w:t>Atlassian explicitly says roadmaps should respond to customer feedback, competitive shifts and changing priorities.¹⁰ ¹³</w:t>
            </w:r>
          </w:p>
        </w:tc>
      </w:tr>
    </w:tbl>
    <w:p>
      <w:pPr>
        <w:pStyle w:val="Heading2"/>
      </w:pPr>
      <w:r>
        <w:t>What a roadmap is NOT</w:t>
      </w:r>
    </w:p>
    <w:p>
      <w:pPr/>
      <w:r>
        <w:t>The following artifacts are useful, but none is a substitute for the product roadmap:</w:t>
      </w:r>
    </w:p>
    <w:tbl>
      <w:tblPr>
        <w:tblStyle w:val="TableGrid"/>
        <w:tblW w:type="auto" w:w="0"/>
        <w:tblLook w:firstColumn="1" w:firstRow="1" w:lastColumn="0" w:lastRow="0" w:noHBand="0" w:noVBand="1" w:val="04A0"/>
      </w:tblPr>
      <w:tblGrid>
        <w:gridCol w:w="3389"/>
        <w:gridCol w:w="3389"/>
        <w:gridCol w:w="3389"/>
      </w:tblGrid>
      <w:tr>
        <w:tc>
          <w:tcPr>
            <w:tcW w:type="dxa" w:w="3389"/>
            <w:shd w:fill="E8EEF7"/>
          </w:tcPr>
          <w:p>
            <w:r>
              <w:rPr>
                <w:b/>
              </w:rPr>
              <w:t>Artifact</w:t>
            </w:r>
          </w:p>
        </w:tc>
        <w:tc>
          <w:tcPr>
            <w:tcW w:type="dxa" w:w="3389"/>
            <w:shd w:fill="E8EEF7"/>
          </w:tcPr>
          <w:p>
            <w:r>
              <w:rPr>
                <w:b/>
              </w:rPr>
              <w:t>Why it is not the product roadmap</w:t>
            </w:r>
          </w:p>
        </w:tc>
        <w:tc>
          <w:tcPr>
            <w:tcW w:type="dxa" w:w="3389"/>
            <w:shd w:fill="E8EEF7"/>
          </w:tcPr>
          <w:p>
            <w:r>
              <w:rPr>
                <w:b/>
              </w:rPr>
              <w:t>What it is for</w:t>
            </w:r>
          </w:p>
        </w:tc>
      </w:tr>
      <w:tr>
        <w:tc>
          <w:tcPr>
            <w:tcW w:type="dxa" w:w="3389"/>
          </w:tcPr>
          <w:p>
            <w:r>
              <w:t>Product strategy / vision alone</w:t>
            </w:r>
          </w:p>
        </w:tc>
        <w:tc>
          <w:tcPr>
            <w:tcW w:type="dxa" w:w="3389"/>
          </w:tcPr>
          <w:p>
            <w:r>
              <w:t>It provides direction but does not translate that direction into prioritized, sequenced investment choices.</w:t>
            </w:r>
          </w:p>
        </w:tc>
        <w:tc>
          <w:tcPr>
            <w:tcW w:type="dxa" w:w="3389"/>
          </w:tcPr>
          <w:p>
            <w:r>
              <w:t>Defines where the product wants to win and the outcomes it seeks.</w:t>
            </w:r>
          </w:p>
        </w:tc>
      </w:tr>
      <w:tr>
        <w:tc>
          <w:tcPr>
            <w:tcW w:type="dxa" w:w="3389"/>
          </w:tcPr>
          <w:p>
            <w:r>
              <w:t>Idea list / feature wishlist</w:t>
            </w:r>
          </w:p>
        </w:tc>
        <w:tc>
          <w:tcPr>
            <w:tcW w:type="dxa" w:w="3389"/>
          </w:tcPr>
          <w:p>
            <w:r>
              <w:t>It contains possibilities but no necessary strategic linkage, prioritization or sequencing.</w:t>
            </w:r>
          </w:p>
        </w:tc>
        <w:tc>
          <w:tcPr>
            <w:tcW w:type="dxa" w:w="3389"/>
          </w:tcPr>
          <w:p>
            <w:r>
              <w:t>Captures demand and candidate ideas.</w:t>
            </w:r>
          </w:p>
        </w:tc>
      </w:tr>
      <w:tr>
        <w:tc>
          <w:tcPr>
            <w:tcW w:type="dxa" w:w="3389"/>
          </w:tcPr>
          <w:p>
            <w:r>
              <w:t>Product backlog</w:t>
            </w:r>
          </w:p>
        </w:tc>
        <w:tc>
          <w:tcPr>
            <w:tcW w:type="dxa" w:w="3389"/>
          </w:tcPr>
          <w:p>
            <w:r>
              <w:t>It is a detailed, dynamic inventory of delivery work, normally at a lower level of abstraction.</w:t>
            </w:r>
          </w:p>
        </w:tc>
        <w:tc>
          <w:tcPr>
            <w:tcW w:type="dxa" w:w="3389"/>
          </w:tcPr>
          <w:p>
            <w:r>
              <w:t>Manages upcoming implementation work and prioritization within delivery.</w:t>
            </w:r>
          </w:p>
        </w:tc>
      </w:tr>
      <w:tr>
        <w:tc>
          <w:tcPr>
            <w:tcW w:type="dxa" w:w="3389"/>
          </w:tcPr>
          <w:p>
            <w:r>
              <w:t>PRD / prototype / design artifact</w:t>
            </w:r>
          </w:p>
        </w:tc>
        <w:tc>
          <w:tcPr>
            <w:tcW w:type="dxa" w:w="3389"/>
          </w:tcPr>
          <w:p>
            <w:r>
              <w:t>It defines or validates an individual problem/solution; it does not express the portfolio of strategic choices over time.</w:t>
            </w:r>
          </w:p>
        </w:tc>
        <w:tc>
          <w:tcPr>
            <w:tcW w:type="dxa" w:w="3389"/>
          </w:tcPr>
          <w:p>
            <w:r>
              <w:t>Reduces uncertainty and makes an initiative sufficiently defined.</w:t>
            </w:r>
          </w:p>
        </w:tc>
      </w:tr>
      <w:tr>
        <w:tc>
          <w:tcPr>
            <w:tcW w:type="dxa" w:w="3389"/>
          </w:tcPr>
          <w:p>
            <w:r>
              <w:t>Discovery board alone</w:t>
            </w:r>
          </w:p>
        </w:tc>
        <w:tc>
          <w:tcPr>
            <w:tcW w:type="dxa" w:w="3389"/>
          </w:tcPr>
          <w:p>
            <w:r>
              <w:t>Discovery status tells us how much we know; without priorities/direction/time it does not by itself constitute a roadmap.</w:t>
            </w:r>
          </w:p>
        </w:tc>
        <w:tc>
          <w:tcPr>
            <w:tcW w:type="dxa" w:w="3389"/>
          </w:tcPr>
          <w:p>
            <w:r>
              <w:t>Tracks evidence, assumptions and maturity.</w:t>
            </w:r>
          </w:p>
        </w:tc>
      </w:tr>
      <w:tr>
        <w:tc>
          <w:tcPr>
            <w:tcW w:type="dxa" w:w="3389"/>
          </w:tcPr>
          <w:p>
            <w:r>
              <w:t>Project plan / engineering plan</w:t>
            </w:r>
          </w:p>
        </w:tc>
        <w:tc>
          <w:tcPr>
            <w:tcW w:type="dxa" w:w="3389"/>
          </w:tcPr>
          <w:p>
            <w:r>
              <w:t>It manages implementation activities, resources, dependencies and detailed schedules.</w:t>
            </w:r>
          </w:p>
        </w:tc>
        <w:tc>
          <w:tcPr>
            <w:tcW w:type="dxa" w:w="3389"/>
          </w:tcPr>
          <w:p>
            <w:r>
              <w:t>Coordinates execution.</w:t>
            </w:r>
          </w:p>
        </w:tc>
      </w:tr>
      <w:tr>
        <w:tc>
          <w:tcPr>
            <w:tcW w:type="dxa" w:w="3389"/>
          </w:tcPr>
          <w:p>
            <w:r>
              <w:t>Release / delivery plan</w:t>
            </w:r>
          </w:p>
        </w:tc>
        <w:tc>
          <w:tcPr>
            <w:tcW w:type="dxa" w:w="3389"/>
          </w:tcPr>
          <w:p>
            <w:r>
              <w:t>It focuses on how already-selected work will be delivered and on the timeframe/milestones for completion. Productboard explicitly calls this the execution-level plan.¹⁴</w:t>
            </w:r>
          </w:p>
        </w:tc>
        <w:tc>
          <w:tcPr>
            <w:tcW w:type="dxa" w:w="3389"/>
          </w:tcPr>
          <w:p>
            <w:r>
              <w:t>Provides near-term delivery forecast and release coordination.</w:t>
            </w:r>
          </w:p>
        </w:tc>
      </w:tr>
      <w:tr>
        <w:tc>
          <w:tcPr>
            <w:tcW w:type="dxa" w:w="3389"/>
          </w:tcPr>
          <w:p>
            <w:r>
              <w:t>Gantt chart or timeline alone</w:t>
            </w:r>
          </w:p>
        </w:tc>
        <w:tc>
          <w:tcPr>
            <w:tcW w:type="dxa" w:w="3389"/>
          </w:tcPr>
          <w:p>
            <w:r>
              <w:t>A timeline becomes a roadmap only when it expresses strategic choices, priorities and rationale; dates alone are a schedule.</w:t>
            </w:r>
          </w:p>
        </w:tc>
        <w:tc>
          <w:tcPr>
            <w:tcW w:type="dxa" w:w="3389"/>
          </w:tcPr>
          <w:p>
            <w:r>
              <w:t>Visualizes timing and dependencies.</w:t>
            </w:r>
          </w:p>
        </w:tc>
      </w:tr>
    </w:tbl>
    <w:p>
      <w:pPr>
        <w:pStyle w:val="Heading2"/>
      </w:pPr>
      <w:r>
        <w:t>A roadmap also does NOT require every item to be delivery-ready</w:t>
      </w:r>
    </w:p>
    <w:p>
      <w:r>
        <w:t>No credible source reviewed makes a completed PRD, prototype, or full discovery package a universal admission criterion for a product roadmap. Most importantly for this organization, Atlassian’s own Jira Product Discovery guidance explicitly describes JPD as a prioritization and roadmapping space for uncertain work: ideas can be problems, opportunities, potential solutions, or feature requests that still need validation and shaping. Atlassian then distinguishes Discovery from “Ready for delivery,” where validated and prioritized ideas become committed. Productboard and ProductPlan make the same higher-level distinction between the strategic roadmap and the more tactical release plan.¹³ ¹⁴ ¹⁷ ¹⁸ ¹⁹</w:t>
      </w:r>
    </w:p>
    <w:p>
      <w:r>
        <w:t>This matters directly to the current CTO debate: the absence of final artifacts on a future initiative is evidence of lower discovery maturity and lower delivery-date confidence. It is not, by itself, evidence that the roadmap does not exist. The organization should therefore make maturity and commitment visible rather than requiring every future roadmap item to be fully specified.</w:t>
      </w:r>
    </w:p>
    <w:p>
      <w:pPr>
        <w:pStyle w:val="Heading2"/>
      </w:pPr>
      <w:r>
        <w:t>Important nuance: a roadmap can contain commitments, but it is not automatically a delivery commitment</w:t>
      </w:r>
    </w:p>
    <w:p>
      <w:r>
        <w:t>The literature is not completely uniform on the word “commitment,” and roadmap formats vary by audience and company. The consistent pattern is progressive precision: strategic roadmaps use broader horizons and can contain uncertain work; release/delivery planning becomes more granular as work is validated and capacity is understood. Atlassian’s JPD quick-start calls timeline dates “rough estimates” and uses months or quarters; Productboard recommends broad roadmap timeframes rather than specific deadlines; ProductPlan explicitly separates high-level roadmaps from tactical release plans. Therefore the practical rule should not be “roadmaps are never commitments,” but “commitment must be explicit and must not be inferred from a quarter label alone.”¹⁷ ¹⁹ ²⁰</w:t>
      </w:r>
    </w:p>
    <w:p>
      <w:pPr>
        <w:pStyle w:val="Heading2"/>
      </w:pPr>
      <w:r>
        <w:t>The five-question roadmap test</w:t>
      </w:r>
    </w:p>
    <w:p>
      <w:pPr/>
      <w:r>
        <w:t>Use this test whenever someone challenges whether an artifact is a roadmap. If the artifact can answer all five questions at the appropriate level of abstraction, it is functioning as a product roadmap:</w:t>
      </w:r>
    </w:p>
    <w:p>
      <w:pPr>
        <w:pStyle w:val="ListNumber"/>
      </w:pPr>
      <w:r>
        <w:t>1. WHY — Which product/company goal or customer outcome does this support?</w:t>
      </w:r>
    </w:p>
    <w:p>
      <w:pPr>
        <w:pStyle w:val="ListNumber"/>
      </w:pPr>
      <w:r>
        <w:t>2. WHAT — Which problems, opportunities, initiatives or solution bets are prioritized?</w:t>
      </w:r>
    </w:p>
    <w:p>
      <w:pPr>
        <w:pStyle w:val="ListNumber"/>
      </w:pPr>
      <w:r>
        <w:t>3. PRIORITY — What choices have we made, and what is relatively more important?</w:t>
      </w:r>
    </w:p>
    <w:p>
      <w:pPr>
        <w:pStyle w:val="ListNumber"/>
      </w:pPr>
      <w:r>
        <w:t>4. WHEN / SEQUENCE — In what broad horizon or order do we currently intend to pursue them?</w:t>
      </w:r>
    </w:p>
    <w:p>
      <w:pPr>
        <w:pStyle w:val="ListNumber"/>
      </w:pPr>
      <w:r>
        <w:t>5. STATUS / CONFIDENCE — How is the plan progressing, and how much certainty should stakeholders attach to each item?</w:t>
      </w:r>
    </w:p>
    <w:p>
      <w:r>
        <w:t>A PRD, prototype, engineering estimate, or exact release date can materially increase confidence in an individual initiative, but the cross-checked sources do not make those artifacts prerequisites for the roadmap itself. They belong to progressive discovery/readiness and delivery planning. In Atlassian’s documented JPD flow, uncertain ideas can be roadmapped during discovery and only later transition to Ready for delivery / committed work.¹⁷ ¹⁸</w:t>
      </w:r>
    </w:p>
    <w:p/>
    <w:p>
      <w:pPr>
        <w:pStyle w:val="Heading2"/>
      </w:pPr>
      <w:r>
        <w:t>Best-practice evidence: this is not an internal Product definition</w:t>
      </w:r>
    </w:p>
    <w:p/>
    <w:p>
      <w:r>
        <w:t>The distinctions above are supported by established product-management sources. The table below makes the evidence explicit so leadership can separate external best practice from company-specific governance choices.</w:t>
      </w:r>
    </w:p>
    <w:tbl>
      <w:tblPr>
        <w:tblStyle w:val="TableGrid"/>
        <w:tblW w:type="auto" w:w="0"/>
        <w:tblLook w:firstColumn="1" w:firstRow="1" w:lastColumn="0" w:lastRow="0" w:noHBand="0" w:noVBand="1" w:val="04A0"/>
      </w:tblPr>
      <w:tblGrid>
        <w:gridCol w:w="3389"/>
        <w:gridCol w:w="3389"/>
        <w:gridCol w:w="3389"/>
      </w:tblGrid>
      <w:tr>
        <w:tc>
          <w:tcPr>
            <w:tcW w:type="dxa" w:w="3389"/>
          </w:tcPr>
          <w:p>
            <w:r>
              <w:t>Principle</w:t>
            </w:r>
          </w:p>
        </w:tc>
        <w:tc>
          <w:tcPr>
            <w:tcW w:type="dxa" w:w="3389"/>
          </w:tcPr>
          <w:p>
            <w:r>
              <w:t>External evidence</w:t>
            </w:r>
          </w:p>
        </w:tc>
        <w:tc>
          <w:tcPr>
            <w:tcW w:type="dxa" w:w="3389"/>
          </w:tcPr>
          <w:p>
            <w:r>
              <w:t>Implication for our operating model</w:t>
            </w:r>
          </w:p>
        </w:tc>
      </w:tr>
      <w:tr>
        <w:tc>
          <w:tcPr>
            <w:tcW w:type="dxa" w:w="3389"/>
          </w:tcPr>
          <w:p>
            <w:r>
              <w:t>A roadmap is strategic and time-oriented, not merely a feature list.</w:t>
            </w:r>
          </w:p>
        </w:tc>
        <w:tc>
          <w:tcPr>
            <w:tcW w:type="dxa" w:w="3389"/>
          </w:tcPr>
          <w:p>
            <w:r>
              <w:t>Atlassian defines a product roadmap as a shared source of truth for product vision, direction, priorities and progress over time. Productboard uses essentially the same definition.</w:t>
            </w:r>
          </w:p>
        </w:tc>
        <w:tc>
          <w:tcPr>
            <w:tcW w:type="dxa" w:w="3389"/>
          </w:tcPr>
          <w:p>
            <w:r>
              <w:t>Goals + themes/solutions + prioritization + quarterly sequencing are legitimate roadmap components.</w:t>
            </w:r>
          </w:p>
        </w:tc>
      </w:tr>
      <w:tr>
        <w:tc>
          <w:tcPr>
            <w:tcW w:type="dxa" w:w="3389"/>
          </w:tcPr>
          <w:p>
            <w:r>
              <w:t>Roadmaps should connect work to strategy and explain why.</w:t>
            </w:r>
          </w:p>
        </w:tc>
        <w:tc>
          <w:tcPr>
            <w:tcW w:type="dxa" w:w="3389"/>
          </w:tcPr>
          <w:p>
            <w:r>
              <w:t>Atlassian says roadmap items should be clearly linked to product strategy and goals. Productboard says strong roadmaps explain the “why” and are grounded in objectives/outcomes.</w:t>
            </w:r>
          </w:p>
        </w:tc>
        <w:tc>
          <w:tcPr>
            <w:tcW w:type="dxa" w:w="3389"/>
          </w:tcPr>
          <w:p>
            <w:r>
              <w:t>A roadmap item should be traceable to a goal/outcome; a disconnected wishlist is not enough.</w:t>
            </w:r>
          </w:p>
        </w:tc>
      </w:tr>
      <w:tr>
        <w:tc>
          <w:tcPr>
            <w:tcW w:type="dxa" w:w="3389"/>
          </w:tcPr>
          <w:p>
            <w:r>
              <w:t>Roadmap timing does not have to be an exact delivery date.</w:t>
            </w:r>
          </w:p>
        </w:tc>
        <w:tc>
          <w:tcPr>
            <w:tcW w:type="dxa" w:w="3389"/>
          </w:tcPr>
          <w:p>
            <w:r>
              <w:t>Atlassian recommends larger time buckets such as months or quarters rather than specific dates, and explicitly notes that executive roadmaps are often organized by month or quarter.</w:t>
            </w:r>
          </w:p>
        </w:tc>
        <w:tc>
          <w:tcPr>
            <w:tcW w:type="dxa" w:w="3389"/>
          </w:tcPr>
          <w:p>
            <w:r>
              <w:t>Our quarterly JPD breakdown is compatible with accepted roadmapping practice.</w:t>
            </w:r>
          </w:p>
        </w:tc>
      </w:tr>
      <w:tr>
        <w:tc>
          <w:tcPr>
            <w:tcW w:type="dxa" w:w="3389"/>
          </w:tcPr>
          <w:p>
            <w:r>
              <w:t>Roadmap and release/delivery plan are different artifacts.</w:t>
            </w:r>
          </w:p>
        </w:tc>
        <w:tc>
          <w:tcPr>
            <w:tcW w:type="dxa" w:w="3389"/>
          </w:tcPr>
          <w:p>
            <w:r>
              <w:t>Productboard calls the release plan the execution-level plan for how decided work will be delivered and when. Aha! similarly distinguishes the strategic product roadmap from tactical release planning.</w:t>
            </w:r>
          </w:p>
        </w:tc>
        <w:tc>
          <w:tcPr>
            <w:tcW w:type="dxa" w:w="3389"/>
          </w:tcPr>
          <w:p>
            <w:r>
              <w:t>CEO/Sales delivery-date needs should be met with a delivery/release forecast alongside the roadmap, not by redefining every roadmap item as a dated commitment.</w:t>
            </w:r>
          </w:p>
        </w:tc>
      </w:tr>
      <w:tr>
        <w:tc>
          <w:tcPr>
            <w:tcW w:type="dxa" w:w="3389"/>
          </w:tcPr>
          <w:p>
            <w:r>
              <w:t>Sales-facing roadmaps should avoid false date certainty.</w:t>
            </w:r>
          </w:p>
        </w:tc>
        <w:tc>
          <w:tcPr>
            <w:tcW w:type="dxa" w:w="3389"/>
          </w:tcPr>
          <w:p>
            <w:r>
              <w:t>Atlassian specifically advises avoiding hard dates in sales roadmaps because they can tie teams to potentially unrealistic dates.</w:t>
            </w:r>
          </w:p>
        </w:tc>
        <w:tc>
          <w:tcPr>
            <w:tcW w:type="dxa" w:w="3389"/>
          </w:tcPr>
          <w:p>
            <w:r>
              <w:t>Sales needs explicit communication status and delivery confidence, not permission to interpret every roadmap quarter as a customer promise.</w:t>
            </w:r>
          </w:p>
        </w:tc>
      </w:tr>
      <w:tr>
        <w:tc>
          <w:tcPr>
            <w:tcW w:type="dxa" w:w="3389"/>
          </w:tcPr>
          <w:p>
            <w:r>
              <w:t>Roadmaps are living artifacts and should change as evidence changes.</w:t>
            </w:r>
          </w:p>
        </w:tc>
        <w:tc>
          <w:tcPr>
            <w:tcW w:type="dxa" w:w="3389"/>
          </w:tcPr>
          <w:p>
            <w:r>
              <w:t>Atlassian recommends regularly updating roadmaps as priorities, customer feedback and competitive conditions change. Aha! likewise treats roadmapping as an ongoing cross-functional planning discipline.</w:t>
            </w:r>
          </w:p>
        </w:tc>
        <w:tc>
          <w:tcPr>
            <w:tcW w:type="dxa" w:w="3389"/>
          </w:tcPr>
          <w:p>
            <w:r>
              <w:t>Movement after discovery is not automatically roadmap failure; changes should be governed and communicated.</w:t>
            </w:r>
          </w:p>
        </w:tc>
      </w:tr>
      <w:tr>
        <w:tc>
          <w:tcPr>
            <w:tcW w:type="dxa" w:w="3389"/>
          </w:tcPr>
          <w:p>
            <w:r>
              <w:t>Different audiences need different roadmap views.</w:t>
            </w:r>
          </w:p>
        </w:tc>
        <w:tc>
          <w:tcPr>
            <w:tcW w:type="dxa" w:w="3389"/>
          </w:tcPr>
          <w:p>
            <w:r>
              <w:t>Atlassian distinguishes executive, sales and external roadmaps. Productboard also recommends tailoring roadmap views to the audience.</w:t>
            </w:r>
          </w:p>
        </w:tc>
        <w:tc>
          <w:tcPr>
            <w:tcW w:type="dxa" w:w="3389"/>
          </w:tcPr>
          <w:p>
            <w:r>
              <w:t>CEO, CTO and Sales can use different views of the same JPD source of truth.</w:t>
            </w:r>
          </w:p>
        </w:tc>
      </w:tr>
    </w:tbl>
    <w:p>
      <w:pPr/>
      <w:r>
        <w:rPr>
          <w:b/>
        </w:rPr>
        <w:t xml:space="preserve">Primary sources used for this section: </w:t>
      </w:r>
      <w:r>
        <w:t>Atlassian, “Product Roadmap Guide: What is it &amp; How to Create One”; Atlassian, “Agile roadmaps: Build, share, use, and evolve”; Productboard, “Product Roadmap Guide”; Productboard, “Roadmap vs. release plan: What’s the difference?”; Aha!, “How to create a product roadmap” and “Roadmapping best practices.” Full URLs and access details appear in References.</w:t>
      </w:r>
    </w:p>
    <w:p>
      <w:pPr>
        <w:pStyle w:val="Heading2"/>
      </w:pPr>
      <w:r>
        <w:t>Applying the test to our JPD</w:t>
      </w:r>
    </w:p>
    <w:tbl>
      <w:tblPr>
        <w:tblStyle w:val="TableGrid"/>
        <w:tblW w:type="auto" w:w="0"/>
        <w:tblLook w:firstColumn="1" w:firstRow="1" w:lastColumn="0" w:lastRow="0" w:noHBand="0" w:noVBand="1" w:val="04A0"/>
      </w:tblPr>
      <w:tblGrid>
        <w:gridCol w:w="3389"/>
        <w:gridCol w:w="3389"/>
        <w:gridCol w:w="3389"/>
      </w:tblGrid>
      <w:tr>
        <w:tc>
          <w:tcPr>
            <w:tcW w:type="dxa" w:w="3389"/>
            <w:shd w:fill="E8EEF7"/>
          </w:tcPr>
          <w:p>
            <w:r>
              <w:rPr>
                <w:b/>
              </w:rPr>
              <w:t>Roadmap test</w:t>
            </w:r>
          </w:p>
        </w:tc>
        <w:tc>
          <w:tcPr>
            <w:tcW w:type="dxa" w:w="3389"/>
            <w:shd w:fill="E8EEF7"/>
          </w:tcPr>
          <w:p>
            <w:r>
              <w:rPr>
                <w:b/>
              </w:rPr>
              <w:t>Current JPD capability</w:t>
            </w:r>
          </w:p>
        </w:tc>
        <w:tc>
          <w:tcPr>
            <w:tcW w:type="dxa" w:w="3389"/>
            <w:shd w:fill="E8EEF7"/>
          </w:tcPr>
          <w:p>
            <w:r>
              <w:rPr>
                <w:b/>
              </w:rPr>
              <w:t>Assessment</w:t>
            </w:r>
          </w:p>
        </w:tc>
      </w:tr>
      <w:tr>
        <w:tc>
          <w:tcPr>
            <w:tcW w:type="dxa" w:w="3389"/>
          </w:tcPr>
          <w:p>
            <w:r>
              <w:t>WHY</w:t>
            </w:r>
          </w:p>
        </w:tc>
        <w:tc>
          <w:tcPr>
            <w:tcW w:type="dxa" w:w="3389"/>
          </w:tcPr>
          <w:p>
            <w:r>
              <w:t>Goals + themes</w:t>
            </w:r>
          </w:p>
        </w:tc>
        <w:tc>
          <w:tcPr>
            <w:tcW w:type="dxa" w:w="3389"/>
          </w:tcPr>
          <w:p>
            <w:r>
              <w:t>Present</w:t>
            </w:r>
          </w:p>
        </w:tc>
      </w:tr>
      <w:tr>
        <w:tc>
          <w:tcPr>
            <w:tcW w:type="dxa" w:w="3389"/>
          </w:tcPr>
          <w:p>
            <w:r>
              <w:t>WHAT</w:t>
            </w:r>
          </w:p>
        </w:tc>
        <w:tc>
          <w:tcPr>
            <w:tcW w:type="dxa" w:w="3389"/>
          </w:tcPr>
          <w:p>
            <w:r>
              <w:t>Solutions / product bets</w:t>
            </w:r>
          </w:p>
        </w:tc>
        <w:tc>
          <w:tcPr>
            <w:tcW w:type="dxa" w:w="3389"/>
          </w:tcPr>
          <w:p>
            <w:r>
              <w:t>Present</w:t>
            </w:r>
          </w:p>
        </w:tc>
      </w:tr>
      <w:tr>
        <w:tc>
          <w:tcPr>
            <w:tcW w:type="dxa" w:w="3389"/>
          </w:tcPr>
          <w:p>
            <w:r>
              <w:t>PRIORITY</w:t>
            </w:r>
          </w:p>
        </w:tc>
        <w:tc>
          <w:tcPr>
            <w:tcW w:type="dxa" w:w="3389"/>
          </w:tcPr>
          <w:p>
            <w:r>
              <w:t>Prioritization and portfolio choices</w:t>
            </w:r>
          </w:p>
        </w:tc>
        <w:tc>
          <w:tcPr>
            <w:tcW w:type="dxa" w:w="3389"/>
          </w:tcPr>
          <w:p>
            <w:r>
              <w:t>Present</w:t>
            </w:r>
          </w:p>
        </w:tc>
      </w:tr>
      <w:tr>
        <w:tc>
          <w:tcPr>
            <w:tcW w:type="dxa" w:w="3389"/>
          </w:tcPr>
          <w:p>
            <w:r>
              <w:t>WHEN / SEQUENCE</w:t>
            </w:r>
          </w:p>
        </w:tc>
        <w:tc>
          <w:tcPr>
            <w:tcW w:type="dxa" w:w="3389"/>
          </w:tcPr>
          <w:p>
            <w:r>
              <w:t>Quarterly breakdown</w:t>
            </w:r>
          </w:p>
        </w:tc>
        <w:tc>
          <w:tcPr>
            <w:tcW w:type="dxa" w:w="3389"/>
          </w:tcPr>
          <w:p>
            <w:r>
              <w:t>Present</w:t>
            </w:r>
          </w:p>
        </w:tc>
      </w:tr>
      <w:tr>
        <w:tc>
          <w:tcPr>
            <w:tcW w:type="dxa" w:w="3389"/>
          </w:tcPr>
          <w:p>
            <w:r>
              <w:t>STATUS / CONFIDENCE</w:t>
            </w:r>
          </w:p>
        </w:tc>
        <w:tc>
          <w:tcPr>
            <w:tcW w:type="dxa" w:w="3389"/>
          </w:tcPr>
          <w:p>
            <w:r>
              <w:t>Discovery maturity + Artefact Ready</w:t>
            </w:r>
          </w:p>
        </w:tc>
        <w:tc>
          <w:tcPr>
            <w:tcW w:type="dxa" w:w="3389"/>
          </w:tcPr>
          <w:p>
            <w:r>
              <w:t>Present</w:t>
            </w:r>
          </w:p>
        </w:tc>
      </w:tr>
    </w:tbl>
    <w:p>
      <w:r>
        <w:rPr>
          <w:b/>
        </w:rPr>
        <w:t>Research-grounded conclusion: based on the characteristics above, the described JPD is functioning as a product roadmap. The legitimate gap raised by the CTO/CEO/Sales is not “is there a roadmap?” but “what level of delivery certainty does each roadmap item carry, and where is the separate delivery forecast?” That is the governance problem addressed in the remainder of this playbook.</w:t>
      </w:r>
    </w:p>
    <w:p>
      <w:pPr>
        <w:pStyle w:val="Heading1"/>
      </w:pPr>
      <w:r>
        <w:t>Leadership perspective: uncertainty is a legitimate business concern</w:t>
      </w:r>
    </w:p>
    <w:p>
      <w:r>
        <w:t>Before debating terminology, we should acknowledge the leadership need behind the debate. When the future delivery plan is difficult to see, uncertainty is not an abstract Product concern: it affects revenue planning, customer commitments, launch coordination, Engineering capacity, executive credibility and the ability to make trade-offs. It is reasonable for the CEO, CTO and Head of Sales to want greater visibility and predictability.</w:t>
      </w:r>
    </w:p>
    <w:p>
      <w:r>
        <w:t>Our response should therefore not be “the roadmap is not a commitment, so uncertainty is unavoidable.” The better response is to make uncertainty explicit, bounded and progressively reducible. Leadership should be able to see what we intend to pursue, how mature each bet is, what is merely directional, what has a delivery forecast, what is genuinely committed, and how confidence changes as discovery and delivery progress.</w:t>
      </w:r>
    </w:p>
    <w:tbl>
      <w:tblPr>
        <w:tblStyle w:val="TableGrid"/>
        <w:tblW w:type="auto" w:w="0"/>
        <w:tblLook w:firstColumn="1" w:firstRow="1" w:lastColumn="0" w:lastRow="0" w:noHBand="0" w:noVBand="1" w:val="04A0"/>
      </w:tblPr>
      <w:tblGrid>
        <w:gridCol w:w="3389"/>
        <w:gridCol w:w="3389"/>
        <w:gridCol w:w="3389"/>
      </w:tblGrid>
      <w:tr>
        <w:tc>
          <w:tcPr>
            <w:tcW w:type="dxa" w:w="3389"/>
          </w:tcPr>
          <w:p>
            <w:r>
              <w:t>Stakeholder</w:t>
            </w:r>
          </w:p>
        </w:tc>
        <w:tc>
          <w:tcPr>
            <w:tcW w:type="dxa" w:w="3389"/>
          </w:tcPr>
          <w:p>
            <w:r>
              <w:t>Why uncertainty is uncomfortable</w:t>
            </w:r>
          </w:p>
        </w:tc>
        <w:tc>
          <w:tcPr>
            <w:tcW w:type="dxa" w:w="3389"/>
          </w:tcPr>
          <w:p>
            <w:r>
              <w:t>What we owe them</w:t>
            </w:r>
          </w:p>
        </w:tc>
      </w:tr>
      <w:tr>
        <w:tc>
          <w:tcPr>
            <w:tcW w:type="dxa" w:w="3389"/>
          </w:tcPr>
          <w:p>
            <w:r>
              <w:t>CEO</w:t>
            </w:r>
          </w:p>
        </w:tc>
        <w:tc>
          <w:tcPr>
            <w:tcW w:type="dxa" w:w="3389"/>
          </w:tcPr>
          <w:p>
            <w:r>
              <w:t>Needs confidence for portfolio choices, investment decisions, revenue expectations and external/internal commitments.</w:t>
            </w:r>
          </w:p>
        </w:tc>
        <w:tc>
          <w:tcPr>
            <w:tcW w:type="dxa" w:w="3389"/>
          </w:tcPr>
          <w:p>
            <w:r>
              <w:t>Show roadmap intent together with maturity, delivery forecast and confidence.</w:t>
            </w:r>
          </w:p>
        </w:tc>
      </w:tr>
      <w:tr>
        <w:tc>
          <w:tcPr>
            <w:tcW w:type="dxa" w:w="3389"/>
          </w:tcPr>
          <w:p>
            <w:r>
              <w:t>CTO</w:t>
            </w:r>
          </w:p>
        </w:tc>
        <w:tc>
          <w:tcPr>
            <w:tcW w:type="dxa" w:w="3389"/>
          </w:tcPr>
          <w:p>
            <w:r>
              <w:t>Needs protection from premature scope/date commitments and visibility into feasibility, dependencies and capacity.</w:t>
            </w:r>
          </w:p>
        </w:tc>
        <w:tc>
          <w:tcPr>
            <w:tcW w:type="dxa" w:w="3389"/>
          </w:tcPr>
          <w:p>
            <w:r>
              <w:t>Separate roadmap placement from delivery commitment; use readiness and commitment gates.</w:t>
            </w:r>
          </w:p>
        </w:tc>
      </w:tr>
      <w:tr>
        <w:tc>
          <w:tcPr>
            <w:tcW w:type="dxa" w:w="3389"/>
          </w:tcPr>
          <w:p>
            <w:r>
              <w:t>Head of Sales</w:t>
            </w:r>
          </w:p>
        </w:tc>
        <w:tc>
          <w:tcPr>
            <w:tcW w:type="dxa" w:w="3389"/>
          </w:tcPr>
          <w:p>
            <w:r>
              <w:t>Needs enough predictability to manage customer expectations, deals, renewals and escalation risk.</w:t>
            </w:r>
          </w:p>
        </w:tc>
        <w:tc>
          <w:tcPr>
            <w:tcW w:type="dxa" w:w="3389"/>
          </w:tcPr>
          <w:p>
            <w:r>
              <w:t>Provide explicit communication status and approved forecast/commitment language.</w:t>
            </w:r>
          </w:p>
        </w:tc>
      </w:tr>
      <w:tr>
        <w:tc>
          <w:tcPr>
            <w:tcW w:type="dxa" w:w="3389"/>
          </w:tcPr>
          <w:p>
            <w:r>
              <w:t>Product</w:t>
            </w:r>
          </w:p>
        </w:tc>
        <w:tc>
          <w:tcPr>
            <w:tcW w:type="dxa" w:w="3389"/>
          </w:tcPr>
          <w:p>
            <w:r>
              <w:t>Needs to communicate direction before every future bet has completed discovery.</w:t>
            </w:r>
          </w:p>
        </w:tc>
        <w:tc>
          <w:tcPr>
            <w:tcW w:type="dxa" w:w="3389"/>
          </w:tcPr>
          <w:p>
            <w:r>
              <w:t>Preserve strategic roadmapping while exposing uncertainty honestly.</w:t>
            </w:r>
          </w:p>
        </w:tc>
      </w:tr>
    </w:tbl>
    <w:p>
      <w:pPr>
        <w:pStyle w:val="Heading2"/>
      </w:pPr>
      <w:r>
        <w:t>The leadership promise</w:t>
      </w:r>
    </w:p>
    <w:p>
      <w:r>
        <w:t>The goal of the proposed operating model is not to remove uncertainty by inventing precision. It is to replace hidden uncertainty with managed uncertainty: one source of truth, visible maturity, explicit confidence, progressively narrower delivery windows and clear rules for when a date becomes customer-communicable or committed.</w:t>
      </w:r>
    </w:p>
    <w:p>
      <w:r>
        <w:rPr>
          <w:b/>
          <w:color w:val="224A78"/>
        </w:rPr>
        <w:t>Empathy principle: visibility reduces avoidable anxiety; false precision only postpones it.</w:t>
      </w:r>
    </w:p>
    <w:p>
      <w:pPr>
        <w:pStyle w:val="Heading1"/>
      </w:pPr>
      <w:r>
        <w:t>3. Assessment of the current JPD model</w:t>
      </w:r>
    </w:p>
    <w:p>
      <w:r>
        <w:t>Based on the operating model described, JPD contains:</w:t>
      </w:r>
    </w:p>
    <w:p>
      <w:pPr>
        <w:pStyle w:val="ListBullet"/>
      </w:pPr>
      <w:r>
        <w:t>Goals: why the investment matters.</w:t>
      </w:r>
    </w:p>
    <w:p>
      <w:pPr>
        <w:pStyle w:val="ListBullet"/>
      </w:pPr>
      <w:r>
        <w:t>Themes: strategic areas of focus.</w:t>
      </w:r>
    </w:p>
    <w:p>
      <w:pPr>
        <w:pStyle w:val="ListBullet"/>
      </w:pPr>
      <w:r>
        <w:t>Solutions / product bets: what Product currently believes may address the opportunity.</w:t>
      </w:r>
    </w:p>
    <w:p>
      <w:pPr>
        <w:pStyle w:val="ListBullet"/>
      </w:pPr>
      <w:r>
        <w:t>Quarterly breakdown: intended sequencing and planning horizon.</w:t>
      </w:r>
    </w:p>
    <w:p>
      <w:pPr>
        <w:pStyle w:val="ListBullet"/>
      </w:pPr>
      <w:r>
        <w:t>Discovery maturity: how far the item has progressed through discovery.</w:t>
      </w:r>
    </w:p>
    <w:p>
      <w:pPr>
        <w:pStyle w:val="ListBullet"/>
      </w:pPr>
      <w:r>
        <w:t>Artefact Ready: an explicit end-state indicating required product artifacts are sufficiently mature.</w:t>
      </w:r>
    </w:p>
    <w:p>
      <w:r>
        <w:t>This is structurally a roadmap system. Atlassian states that JPD roadmaps communicate how and why ideas were prioritized, and that JPD is a separate space for prioritization and roadmapping before committed work is connected to delivery tickets.²³</w:t>
      </w:r>
    </w:p>
    <w:p>
      <w:pPr>
        <w:pStyle w:val="Heading2"/>
      </w:pPr>
      <w:r>
        <w:t>The CTO’s concern is still valuable</w:t>
      </w:r>
    </w:p>
    <w:p>
      <w:r>
        <w:t>The CTO is likely protecting the organization from an implicit contract: “if Product places something in Q2, Engineering has promised Q2 delivery.” If an item has not completed sufficient discovery, feasibility work, dependency analysis or capacity planning, a precise delivery commitment would be unsafe. The right response is not to exclude the item from the roadmap; it is to prevent roadmap placement from being misread as delivery commitment.</w:t>
      </w:r>
    </w:p>
    <w:p>
      <w:pPr>
        <w:pStyle w:val="Heading1"/>
      </w:pPr>
      <w:r>
        <w:t>4. The central operating model: three layers of certainty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160"/>
            <w:vAlign w:val="center"/>
            <w:shd w:fill="123047"/>
          </w:tcPr>
          <w:p>
            <w:r/>
            <w:r>
              <w:rPr>
                <w:b/>
                <w:color w:val="FFFFFF"/>
                <w:sz w:val="17"/>
              </w:rPr>
              <w:t>Layer</w:t>
            </w:r>
          </w:p>
        </w:tc>
        <w:tc>
          <w:tcPr>
            <w:tcW w:type="dxa" w:w="3888"/>
            <w:vAlign w:val="center"/>
            <w:shd w:fill="123047"/>
          </w:tcPr>
          <w:p>
            <w:r/>
            <w:r>
              <w:rPr>
                <w:b/>
                <w:color w:val="FFFFFF"/>
                <w:sz w:val="17"/>
              </w:rPr>
              <w:t>Decision</w:t>
            </w:r>
          </w:p>
        </w:tc>
        <w:tc>
          <w:tcPr>
            <w:tcW w:type="dxa" w:w="2880"/>
            <w:vAlign w:val="center"/>
            <w:shd w:fill="123047"/>
          </w:tcPr>
          <w:p>
            <w:r/>
            <w:r>
              <w:rPr>
                <w:b/>
                <w:color w:val="FFFFFF"/>
                <w:sz w:val="17"/>
              </w:rPr>
              <w:t>Example status</w:t>
            </w:r>
          </w:p>
        </w:tc>
        <w:tc>
          <w:tcPr>
            <w:tcW w:type="dxa" w:w="2160"/>
            <w:vAlign w:val="center"/>
            <w:shd w:fill="123047"/>
          </w:tcPr>
          <w:p>
            <w:r/>
            <w:r>
              <w:rPr>
                <w:b/>
                <w:color w:val="FFFFFF"/>
                <w:sz w:val="17"/>
              </w:rPr>
              <w:t>Owner / co-owner</w:t>
            </w:r>
          </w:p>
        </w:tc>
      </w:tr>
      <w:tr>
        <w:tc>
          <w:tcPr>
            <w:tcW w:type="dxa" w:w="2160"/>
            <w:vAlign w:val="center"/>
          </w:tcPr>
          <w:p>
            <w:r/>
            <w:r>
              <w:rPr>
                <w:b w:val="0"/>
                <w:sz w:val="17"/>
              </w:rPr>
              <w:t>Roadmap intent</w:t>
            </w:r>
          </w:p>
        </w:tc>
        <w:tc>
          <w:tcPr>
            <w:tcW w:type="dxa" w:w="3888"/>
            <w:vAlign w:val="center"/>
          </w:tcPr>
          <w:p>
            <w:r/>
            <w:r>
              <w:rPr>
                <w:b w:val="0"/>
                <w:sz w:val="17"/>
              </w:rPr>
              <w:t>Should we invest here, and roughly when?</w:t>
            </w:r>
          </w:p>
        </w:tc>
        <w:tc>
          <w:tcPr>
            <w:tcW w:type="dxa" w:w="2880"/>
            <w:vAlign w:val="center"/>
          </w:tcPr>
          <w:p>
            <w:r/>
            <w:r>
              <w:rPr>
                <w:b w:val="0"/>
                <w:sz w:val="17"/>
              </w:rPr>
              <w:t>Q2 target; Directional</w:t>
            </w:r>
          </w:p>
        </w:tc>
        <w:tc>
          <w:tcPr>
            <w:tcW w:type="dxa" w:w="2160"/>
            <w:vAlign w:val="center"/>
          </w:tcPr>
          <w:p>
            <w:r/>
            <w:r>
              <w:rPr>
                <w:b w:val="0"/>
                <w:sz w:val="17"/>
              </w:rPr>
              <w:t>Product, aligned with leadership</w:t>
            </w:r>
          </w:p>
        </w:tc>
      </w:tr>
      <w:tr>
        <w:tc>
          <w:tcPr>
            <w:tcW w:type="dxa" w:w="2160"/>
            <w:vAlign w:val="center"/>
          </w:tcPr>
          <w:p>
            <w:r/>
            <w:r>
              <w:rPr>
                <w:b w:val="0"/>
                <w:sz w:val="17"/>
              </w:rPr>
              <w:t>Discovery readiness</w:t>
            </w:r>
          </w:p>
        </w:tc>
        <w:tc>
          <w:tcPr>
            <w:tcW w:type="dxa" w:w="3888"/>
            <w:vAlign w:val="center"/>
          </w:tcPr>
          <w:p>
            <w:r/>
            <w:r>
              <w:rPr>
                <w:b w:val="0"/>
                <w:sz w:val="17"/>
              </w:rPr>
              <w:t>Do we understand the problem and solution enough?</w:t>
            </w:r>
          </w:p>
        </w:tc>
        <w:tc>
          <w:tcPr>
            <w:tcW w:type="dxa" w:w="2880"/>
            <w:vAlign w:val="center"/>
          </w:tcPr>
          <w:p>
            <w:r/>
            <w:r>
              <w:rPr>
                <w:b w:val="0"/>
                <w:sz w:val="17"/>
              </w:rPr>
              <w:t>Solution validated; Artefact Ready</w:t>
            </w:r>
          </w:p>
        </w:tc>
        <w:tc>
          <w:tcPr>
            <w:tcW w:type="dxa" w:w="2160"/>
            <w:vAlign w:val="center"/>
          </w:tcPr>
          <w:p>
            <w:r/>
            <w:r>
              <w:rPr>
                <w:b w:val="0"/>
                <w:sz w:val="17"/>
              </w:rPr>
              <w:t>Product + Design + Engineering</w:t>
            </w:r>
          </w:p>
        </w:tc>
      </w:tr>
      <w:tr>
        <w:tc>
          <w:tcPr>
            <w:tcW w:type="dxa" w:w="2160"/>
            <w:vAlign w:val="center"/>
          </w:tcPr>
          <w:p>
            <w:r/>
            <w:r>
              <w:rPr>
                <w:b w:val="0"/>
                <w:sz w:val="17"/>
              </w:rPr>
              <w:t>Delivery certainty</w:t>
            </w:r>
          </w:p>
        </w:tc>
        <w:tc>
          <w:tcPr>
            <w:tcW w:type="dxa" w:w="3888"/>
            <w:vAlign w:val="center"/>
          </w:tcPr>
          <w:p>
            <w:r/>
            <w:r>
              <w:rPr>
                <w:b w:val="0"/>
                <w:sz w:val="17"/>
              </w:rPr>
              <w:t>When can this realistically reach customers?</w:t>
            </w:r>
          </w:p>
        </w:tc>
        <w:tc>
          <w:tcPr>
            <w:tcW w:type="dxa" w:w="2880"/>
            <w:vAlign w:val="center"/>
          </w:tcPr>
          <w:p>
            <w:r/>
            <w:r>
              <w:rPr>
                <w:b w:val="0"/>
                <w:sz w:val="17"/>
              </w:rPr>
              <w:t>May–June, medium confidence; June 20 committed</w:t>
            </w:r>
          </w:p>
        </w:tc>
        <w:tc>
          <w:tcPr>
            <w:tcW w:type="dxa" w:w="2160"/>
            <w:vAlign w:val="center"/>
          </w:tcPr>
          <w:p>
            <w:r/>
            <w:r>
              <w:rPr>
                <w:b w:val="0"/>
                <w:sz w:val="17"/>
              </w:rPr>
              <w:t>Engineering + Product</w:t>
            </w:r>
          </w:p>
        </w:tc>
      </w:tr>
    </w:tbl>
    <w:p/>
    <w:p>
      <w:r>
        <w:t>These dimensions should be visible together but never collapsed into one field. A Q3 initiative can legitimately be early discovery. A Q4 initiative may be Artefact Ready and still not have a guaranteed date until dependencies and capacity are resolved.</w:t>
      </w:r>
    </w:p>
    <w:p>
      <w:pPr>
        <w:pStyle w:val="Heading1"/>
      </w:pPr>
      <w:r>
        <w:t>5. Define the semantics of a quarter</w:t>
      </w:r>
    </w:p>
    <w:p>
      <w:r>
        <w:t>The single most important alignment decision is what “Q2” means in JPD. Recommended definition:</w:t>
      </w:r>
    </w:p>
    <w:tbl>
      <w:tblPr>
        <w:tblW w:type="auto" w:w="0"/>
        <w:tblLook w:firstColumn="1" w:firstRow="1" w:lastColumn="0" w:lastRow="0" w:noHBand="0" w:noVBand="1" w:val="04A0"/>
      </w:tblPr>
      <w:tblGrid>
        <w:gridCol w:w="10166"/>
      </w:tblGrid>
      <w:tr>
        <w:tc>
          <w:tcPr>
            <w:tcW w:type="dxa" w:w="10166"/>
            <w:shd w:fill="EAF4F4"/>
            <w:vAlign w:val="center"/>
          </w:tcPr>
          <w:p>
            <w:r/>
            <w:r>
              <w:rPr>
                <w:b/>
                <w:color w:val="123047"/>
                <w:sz w:val="22"/>
              </w:rPr>
              <w:t>ROADMAP QUARTER = the organization’s current planning intent for when an initiative should receive material focus or be targeted, based on information available today. It is not, by itself, a guaranteed customer delivery date.</w:t>
            </w:r>
          </w:p>
        </w:tc>
      </w:tr>
    </w:tbl>
    <w:p>
      <w:r>
        <w:t>If the organization instead wants a quarter to mean “guaranteed production availability,” then only sufficiently mature and capacity-backed work should receive a quarter — but that artifact is then functioning as a release/delivery plan rather than the full strategic roadmap.</w:t>
      </w:r>
    </w:p>
    <w:p>
      <w:pPr>
        <w:pStyle w:val="Heading1"/>
      </w:pPr>
      <w:r>
        <w:t>6. Preserve the existing Discovery Maturity + Artefact Ready model</w:t>
      </w:r>
    </w:p>
    <w:p>
      <w:r>
        <w:t>Do not make complete artifacts a prerequisite for roadmap visibility. Discovery is the mechanism that converts uncertainty into evidence. Atlassian’s own JPD flow moves from uncertain ideas, through discovery, to “Ready for delivery,” where ideas are validated, prioritized and committed, and only then into delivery.³</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123047"/>
          </w:tcPr>
          <w:p>
            <w:r/>
            <w:r>
              <w:rPr>
                <w:b/>
                <w:color w:val="FFFFFF"/>
                <w:sz w:val="17"/>
              </w:rPr>
              <w:t>Example maturity</w:t>
            </w:r>
          </w:p>
        </w:tc>
        <w:tc>
          <w:tcPr>
            <w:tcW w:type="dxa" w:w="4608"/>
            <w:vAlign w:val="center"/>
            <w:shd w:fill="123047"/>
          </w:tcPr>
          <w:p>
            <w:r/>
            <w:r>
              <w:rPr>
                <w:b/>
                <w:color w:val="FFFFFF"/>
                <w:sz w:val="17"/>
              </w:rPr>
              <w:t>Evidence expected</w:t>
            </w:r>
          </w:p>
        </w:tc>
        <w:tc>
          <w:tcPr>
            <w:tcW w:type="dxa" w:w="4032"/>
            <w:vAlign w:val="center"/>
            <w:shd w:fill="123047"/>
          </w:tcPr>
          <w:p>
            <w:r/>
            <w:r>
              <w:rPr>
                <w:b/>
                <w:color w:val="FFFFFF"/>
                <w:sz w:val="17"/>
              </w:rPr>
              <w:t>Roadmap implication</w:t>
            </w:r>
          </w:p>
        </w:tc>
      </w:tr>
      <w:tr>
        <w:tc>
          <w:tcPr>
            <w:tcW w:type="dxa" w:w="2160"/>
            <w:vAlign w:val="center"/>
          </w:tcPr>
          <w:p>
            <w:r/>
            <w:r>
              <w:rPr>
                <w:b w:val="0"/>
                <w:sz w:val="17"/>
              </w:rPr>
              <w:t>Hypothesis / early discovery</w:t>
            </w:r>
          </w:p>
        </w:tc>
        <w:tc>
          <w:tcPr>
            <w:tcW w:type="dxa" w:w="4608"/>
            <w:vAlign w:val="center"/>
          </w:tcPr>
          <w:p>
            <w:r/>
            <w:r>
              <w:rPr>
                <w:b w:val="0"/>
                <w:sz w:val="17"/>
              </w:rPr>
              <w:t>Strategic rationale; initial signals</w:t>
            </w:r>
          </w:p>
        </w:tc>
        <w:tc>
          <w:tcPr>
            <w:tcW w:type="dxa" w:w="4032"/>
            <w:vAlign w:val="center"/>
          </w:tcPr>
          <w:p>
            <w:r/>
            <w:r>
              <w:rPr>
                <w:b w:val="0"/>
                <w:sz w:val="17"/>
              </w:rPr>
              <w:t>May appear on future roadmap; low delivery confidence.</w:t>
            </w:r>
          </w:p>
        </w:tc>
      </w:tr>
      <w:tr>
        <w:tc>
          <w:tcPr>
            <w:tcW w:type="dxa" w:w="2160"/>
            <w:vAlign w:val="center"/>
          </w:tcPr>
          <w:p>
            <w:r/>
            <w:r>
              <w:rPr>
                <w:b w:val="0"/>
                <w:sz w:val="17"/>
              </w:rPr>
              <w:t>Problem validated</w:t>
            </w:r>
          </w:p>
        </w:tc>
        <w:tc>
          <w:tcPr>
            <w:tcW w:type="dxa" w:w="4608"/>
            <w:vAlign w:val="center"/>
          </w:tcPr>
          <w:p>
            <w:r/>
            <w:r>
              <w:rPr>
                <w:b w:val="0"/>
                <w:sz w:val="17"/>
              </w:rPr>
              <w:t>Evidence that the problem/opportunity matters</w:t>
            </w:r>
          </w:p>
        </w:tc>
        <w:tc>
          <w:tcPr>
            <w:tcW w:type="dxa" w:w="4032"/>
            <w:vAlign w:val="center"/>
          </w:tcPr>
          <w:p>
            <w:r/>
            <w:r>
              <w:rPr>
                <w:b w:val="0"/>
                <w:sz w:val="17"/>
              </w:rPr>
              <w:t>Priority can strengthen; solution still changeable.</w:t>
            </w:r>
          </w:p>
        </w:tc>
      </w:tr>
      <w:tr>
        <w:tc>
          <w:tcPr>
            <w:tcW w:type="dxa" w:w="2160"/>
            <w:vAlign w:val="center"/>
          </w:tcPr>
          <w:p>
            <w:r/>
            <w:r>
              <w:rPr>
                <w:b w:val="0"/>
                <w:sz w:val="17"/>
              </w:rPr>
              <w:t>Solution validation</w:t>
            </w:r>
          </w:p>
        </w:tc>
        <w:tc>
          <w:tcPr>
            <w:tcW w:type="dxa" w:w="4608"/>
            <w:vAlign w:val="center"/>
          </w:tcPr>
          <w:p>
            <w:r/>
            <w:r>
              <w:rPr>
                <w:b w:val="0"/>
                <w:sz w:val="17"/>
              </w:rPr>
              <w:t>Prototype/tests/technical exploration as appropriate</w:t>
            </w:r>
          </w:p>
        </w:tc>
        <w:tc>
          <w:tcPr>
            <w:tcW w:type="dxa" w:w="4032"/>
            <w:vAlign w:val="center"/>
          </w:tcPr>
          <w:p>
            <w:r/>
            <w:r>
              <w:rPr>
                <w:b w:val="0"/>
                <w:sz w:val="17"/>
              </w:rPr>
              <w:t>Delivery planning can begin at coarse level.</w:t>
            </w:r>
          </w:p>
        </w:tc>
      </w:tr>
      <w:tr>
        <w:tc>
          <w:tcPr>
            <w:tcW w:type="dxa" w:w="2160"/>
            <w:vAlign w:val="center"/>
          </w:tcPr>
          <w:p>
            <w:r/>
            <w:r>
              <w:rPr>
                <w:b w:val="0"/>
                <w:sz w:val="17"/>
              </w:rPr>
              <w:t>Artefact Ready</w:t>
            </w:r>
          </w:p>
        </w:tc>
        <w:tc>
          <w:tcPr>
            <w:tcW w:type="dxa" w:w="4608"/>
            <w:vAlign w:val="center"/>
          </w:tcPr>
          <w:p>
            <w:r/>
            <w:r>
              <w:rPr>
                <w:b w:val="0"/>
                <w:sz w:val="17"/>
              </w:rPr>
              <w:t>Required PRD/prototype/decision artifacts complete</w:t>
            </w:r>
          </w:p>
        </w:tc>
        <w:tc>
          <w:tcPr>
            <w:tcW w:type="dxa" w:w="4032"/>
            <w:vAlign w:val="center"/>
          </w:tcPr>
          <w:p>
            <w:r/>
            <w:r>
              <w:rPr>
                <w:b w:val="0"/>
                <w:sz w:val="17"/>
              </w:rPr>
              <w:t>Eligible for robust engineering planning; not automatically a guaranteed date.</w:t>
            </w:r>
          </w:p>
        </w:tc>
      </w:tr>
      <w:tr>
        <w:tc>
          <w:tcPr>
            <w:tcW w:type="dxa" w:w="2160"/>
            <w:vAlign w:val="center"/>
          </w:tcPr>
          <w:p>
            <w:r/>
            <w:r>
              <w:rPr>
                <w:b w:val="0"/>
                <w:sz w:val="17"/>
              </w:rPr>
              <w:t>Committed</w:t>
            </w:r>
          </w:p>
        </w:tc>
        <w:tc>
          <w:tcPr>
            <w:tcW w:type="dxa" w:w="4608"/>
            <w:vAlign w:val="center"/>
          </w:tcPr>
          <w:p>
            <w:r/>
            <w:r>
              <w:rPr>
                <w:b w:val="0"/>
                <w:sz w:val="17"/>
              </w:rPr>
              <w:t>Feasibility + scope + dependencies + capacity agreed</w:t>
            </w:r>
          </w:p>
        </w:tc>
        <w:tc>
          <w:tcPr>
            <w:tcW w:type="dxa" w:w="4032"/>
            <w:vAlign w:val="center"/>
          </w:tcPr>
          <w:p>
            <w:r/>
            <w:r>
              <w:rPr>
                <w:b w:val="0"/>
                <w:sz w:val="17"/>
              </w:rPr>
              <w:t>Can carry a high-confidence delivery forecast / customer commitment under policy.</w:t>
            </w:r>
          </w:p>
        </w:tc>
      </w:tr>
    </w:tbl>
    <w:p/>
    <w:p>
      <w:pPr>
        <w:pStyle w:val="Heading1"/>
      </w:pPr>
      <w:r>
        <w:t>7. Add a commitment contract — not another discovery process</w:t>
      </w:r>
    </w:p>
    <w:p>
      <w:r>
        <w:t>If not already present, add a commitment/communication status that is independent of discovery maturity. This answers the CEO and Sales question directly.</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23047"/>
          </w:tcPr>
          <w:p>
            <w:r/>
            <w:r>
              <w:rPr>
                <w:b/>
                <w:color w:val="FFFFFF"/>
                <w:sz w:val="17"/>
              </w:rPr>
              <w:t>Status</w:t>
            </w:r>
          </w:p>
        </w:tc>
        <w:tc>
          <w:tcPr>
            <w:tcW w:type="dxa" w:w="4752"/>
            <w:vAlign w:val="center"/>
            <w:shd w:fill="123047"/>
          </w:tcPr>
          <w:p>
            <w:r/>
            <w:r>
              <w:rPr>
                <w:b/>
                <w:color w:val="FFFFFF"/>
                <w:sz w:val="17"/>
              </w:rPr>
              <w:t>Internal meaning</w:t>
            </w:r>
          </w:p>
        </w:tc>
        <w:tc>
          <w:tcPr>
            <w:tcW w:type="dxa" w:w="4320"/>
            <w:vAlign w:val="center"/>
            <w:shd w:fill="123047"/>
          </w:tcPr>
          <w:p>
            <w:r/>
            <w:r>
              <w:rPr>
                <w:b/>
                <w:color w:val="FFFFFF"/>
                <w:sz w:val="17"/>
              </w:rPr>
              <w:t>Sales/customer meaning</w:t>
            </w:r>
          </w:p>
        </w:tc>
      </w:tr>
      <w:tr>
        <w:tc>
          <w:tcPr>
            <w:tcW w:type="dxa" w:w="1728"/>
            <w:vAlign w:val="center"/>
          </w:tcPr>
          <w:p>
            <w:r/>
            <w:r>
              <w:rPr>
                <w:b w:val="0"/>
                <w:sz w:val="17"/>
              </w:rPr>
              <w:t>Vision / Directional</w:t>
            </w:r>
          </w:p>
        </w:tc>
        <w:tc>
          <w:tcPr>
            <w:tcW w:type="dxa" w:w="4752"/>
            <w:vAlign w:val="center"/>
          </w:tcPr>
          <w:p>
            <w:r/>
            <w:r>
              <w:rPr>
                <w:b w:val="0"/>
                <w:sz w:val="17"/>
              </w:rPr>
              <w:t>Strategic direction or hypothesis; timing can move materially.</w:t>
            </w:r>
          </w:p>
        </w:tc>
        <w:tc>
          <w:tcPr>
            <w:tcW w:type="dxa" w:w="4320"/>
            <w:vAlign w:val="center"/>
          </w:tcPr>
          <w:p>
            <w:r/>
            <w:r>
              <w:rPr>
                <w:b w:val="0"/>
                <w:sz w:val="17"/>
              </w:rPr>
              <w:t>May discuss direction only; no date promise.</w:t>
            </w:r>
          </w:p>
        </w:tc>
      </w:tr>
      <w:tr>
        <w:tc>
          <w:tcPr>
            <w:tcW w:type="dxa" w:w="1728"/>
            <w:vAlign w:val="center"/>
          </w:tcPr>
          <w:p>
            <w:r/>
            <w:r>
              <w:rPr>
                <w:b w:val="0"/>
                <w:sz w:val="17"/>
              </w:rPr>
              <w:t>Planned</w:t>
            </w:r>
          </w:p>
        </w:tc>
        <w:tc>
          <w:tcPr>
            <w:tcW w:type="dxa" w:w="4752"/>
            <w:vAlign w:val="center"/>
          </w:tcPr>
          <w:p>
            <w:r/>
            <w:r>
              <w:rPr>
                <w:b w:val="0"/>
                <w:sz w:val="17"/>
              </w:rPr>
              <w:t>Prioritized intent; active discovery/planning; not yet capacity-backed.</w:t>
            </w:r>
          </w:p>
        </w:tc>
        <w:tc>
          <w:tcPr>
            <w:tcW w:type="dxa" w:w="4320"/>
            <w:vAlign w:val="center"/>
          </w:tcPr>
          <w:p>
            <w:r/>
            <w:r>
              <w:rPr>
                <w:b w:val="0"/>
                <w:sz w:val="17"/>
              </w:rPr>
              <w:t>May discuss as planned with explicit caveat; no contractual date.</w:t>
            </w:r>
          </w:p>
        </w:tc>
      </w:tr>
      <w:tr>
        <w:tc>
          <w:tcPr>
            <w:tcW w:type="dxa" w:w="1728"/>
            <w:vAlign w:val="center"/>
          </w:tcPr>
          <w:p>
            <w:r/>
            <w:r>
              <w:rPr>
                <w:b w:val="0"/>
                <w:sz w:val="17"/>
              </w:rPr>
              <w:t>Forecast</w:t>
            </w:r>
          </w:p>
        </w:tc>
        <w:tc>
          <w:tcPr>
            <w:tcW w:type="dxa" w:w="4752"/>
            <w:vAlign w:val="center"/>
          </w:tcPr>
          <w:p>
            <w:r/>
            <w:r>
              <w:rPr>
                <w:b w:val="0"/>
                <w:sz w:val="17"/>
              </w:rPr>
              <w:t>Sufficient maturity and engineering planning to provide a date range with confidence.</w:t>
            </w:r>
          </w:p>
        </w:tc>
        <w:tc>
          <w:tcPr>
            <w:tcW w:type="dxa" w:w="4320"/>
            <w:vAlign w:val="center"/>
          </w:tcPr>
          <w:p>
            <w:r/>
            <w:r>
              <w:rPr>
                <w:b w:val="0"/>
                <w:sz w:val="17"/>
              </w:rPr>
              <w:t>Use approved range/language; still a forecast.</w:t>
            </w:r>
          </w:p>
        </w:tc>
      </w:tr>
      <w:tr>
        <w:tc>
          <w:tcPr>
            <w:tcW w:type="dxa" w:w="1728"/>
            <w:vAlign w:val="center"/>
          </w:tcPr>
          <w:p>
            <w:r/>
            <w:r>
              <w:rPr>
                <w:b w:val="0"/>
                <w:sz w:val="17"/>
              </w:rPr>
              <w:t>Committed</w:t>
            </w:r>
          </w:p>
        </w:tc>
        <w:tc>
          <w:tcPr>
            <w:tcW w:type="dxa" w:w="4752"/>
            <w:vAlign w:val="center"/>
          </w:tcPr>
          <w:p>
            <w:r/>
            <w:r>
              <w:rPr>
                <w:b w:val="0"/>
                <w:sz w:val="17"/>
              </w:rPr>
              <w:t>Scope, dependencies and capacity agreed to the organization’s commitment threshold.</w:t>
            </w:r>
          </w:p>
        </w:tc>
        <w:tc>
          <w:tcPr>
            <w:tcW w:type="dxa" w:w="4320"/>
            <w:vAlign w:val="center"/>
          </w:tcPr>
          <w:p>
            <w:r/>
            <w:r>
              <w:rPr>
                <w:b w:val="0"/>
                <w:sz w:val="17"/>
              </w:rPr>
              <w:t>Approved commitment language/date; exceptions governed explicitly.</w:t>
            </w:r>
          </w:p>
        </w:tc>
      </w:tr>
    </w:tbl>
    <w:p/>
    <w:p>
      <w:r>
        <w:t>The important distinction: Artefact Ready is a readiness gate. Committed is a business/engineering commitment gate. They may often be close in time, but they are not synonymous.</w:t>
      </w:r>
    </w:p>
    <w:p>
      <w:pPr>
        <w:pStyle w:val="Heading1"/>
      </w:pPr>
      <w:r>
        <w:t>8. Progressive certainty: give the business more certainty over time</w:t>
      </w:r>
    </w:p>
    <w:p>
      <w:r>
        <w:t>The answer to “when will it really ship?” should become more precise as evidence and execution progress. Do not manufacture a precise date while uncertainty is high; narrow the range as confidence increases.</w:t>
      </w:r>
    </w:p>
    <w:tbl>
      <w:tblPr>
        <w:tblStyle w:val="TableGrid"/>
        <w:tblW w:type="auto" w:w="0"/>
        <w:jc w:val="center"/>
        <w:tblLook w:firstColumn="1" w:firstRow="1" w:lastColumn="0" w:lastRow="0" w:noHBand="0" w:noVBand="1" w:val="04A0"/>
      </w:tblPr>
      <w:tblGrid>
        <w:gridCol w:w="3389"/>
        <w:gridCol w:w="3389"/>
        <w:gridCol w:w="3389"/>
      </w:tblGrid>
      <w:tr>
        <w:tc>
          <w:tcPr>
            <w:tcW w:type="dxa" w:w="2880"/>
            <w:vAlign w:val="center"/>
            <w:shd w:fill="123047"/>
          </w:tcPr>
          <w:p>
            <w:r/>
            <w:r>
              <w:rPr>
                <w:b/>
                <w:color w:val="FFFFFF"/>
                <w:sz w:val="17"/>
              </w:rPr>
              <w:t>Stage</w:t>
            </w:r>
          </w:p>
        </w:tc>
        <w:tc>
          <w:tcPr>
            <w:tcW w:type="dxa" w:w="4320"/>
            <w:vAlign w:val="center"/>
            <w:shd w:fill="123047"/>
          </w:tcPr>
          <w:p>
            <w:r/>
            <w:r>
              <w:rPr>
                <w:b/>
                <w:color w:val="FFFFFF"/>
                <w:sz w:val="17"/>
              </w:rPr>
              <w:t>Timing expression</w:t>
            </w:r>
          </w:p>
        </w:tc>
        <w:tc>
          <w:tcPr>
            <w:tcW w:type="dxa" w:w="2880"/>
            <w:vAlign w:val="center"/>
            <w:shd w:fill="123047"/>
          </w:tcPr>
          <w:p>
            <w:r/>
            <w:r>
              <w:rPr>
                <w:b/>
                <w:color w:val="FFFFFF"/>
                <w:sz w:val="17"/>
              </w:rPr>
              <w:t>Illustrative confidence</w:t>
            </w:r>
          </w:p>
        </w:tc>
      </w:tr>
      <w:tr>
        <w:tc>
          <w:tcPr>
            <w:tcW w:type="dxa" w:w="2880"/>
            <w:vAlign w:val="center"/>
          </w:tcPr>
          <w:p>
            <w:r/>
            <w:r>
              <w:rPr>
                <w:b w:val="0"/>
                <w:sz w:val="17"/>
              </w:rPr>
              <w:t>Roadmap hypothesis</w:t>
            </w:r>
          </w:p>
        </w:tc>
        <w:tc>
          <w:tcPr>
            <w:tcW w:type="dxa" w:w="4320"/>
            <w:vAlign w:val="center"/>
          </w:tcPr>
          <w:p>
            <w:r/>
            <w:r>
              <w:rPr>
                <w:b w:val="0"/>
                <w:sz w:val="17"/>
              </w:rPr>
              <w:t>Q3</w:t>
            </w:r>
          </w:p>
        </w:tc>
        <w:tc>
          <w:tcPr>
            <w:tcW w:type="dxa" w:w="2880"/>
            <w:vAlign w:val="center"/>
          </w:tcPr>
          <w:p>
            <w:r/>
            <w:r>
              <w:rPr>
                <w:b w:val="0"/>
                <w:sz w:val="17"/>
              </w:rPr>
              <w:t>Low</w:t>
            </w:r>
          </w:p>
        </w:tc>
      </w:tr>
      <w:tr>
        <w:tc>
          <w:tcPr>
            <w:tcW w:type="dxa" w:w="2880"/>
            <w:vAlign w:val="center"/>
          </w:tcPr>
          <w:p>
            <w:r/>
            <w:r>
              <w:rPr>
                <w:b w:val="0"/>
                <w:sz w:val="17"/>
              </w:rPr>
              <w:t>Validated / planned</w:t>
            </w:r>
          </w:p>
        </w:tc>
        <w:tc>
          <w:tcPr>
            <w:tcW w:type="dxa" w:w="4320"/>
            <w:vAlign w:val="center"/>
          </w:tcPr>
          <w:p>
            <w:r/>
            <w:r>
              <w:rPr>
                <w:b w:val="0"/>
                <w:sz w:val="17"/>
              </w:rPr>
              <w:t>Q3, likely Aug–Sep</w:t>
            </w:r>
          </w:p>
        </w:tc>
        <w:tc>
          <w:tcPr>
            <w:tcW w:type="dxa" w:w="2880"/>
            <w:vAlign w:val="center"/>
          </w:tcPr>
          <w:p>
            <w:r/>
            <w:r>
              <w:rPr>
                <w:b w:val="0"/>
                <w:sz w:val="17"/>
              </w:rPr>
              <w:t>Low–medium</w:t>
            </w:r>
          </w:p>
        </w:tc>
      </w:tr>
      <w:tr>
        <w:tc>
          <w:tcPr>
            <w:tcW w:type="dxa" w:w="2880"/>
            <w:vAlign w:val="center"/>
          </w:tcPr>
          <w:p>
            <w:r/>
            <w:r>
              <w:rPr>
                <w:b w:val="0"/>
                <w:sz w:val="17"/>
              </w:rPr>
              <w:t>Artefact Ready / forecast</w:t>
            </w:r>
          </w:p>
        </w:tc>
        <w:tc>
          <w:tcPr>
            <w:tcW w:type="dxa" w:w="4320"/>
            <w:vAlign w:val="center"/>
          </w:tcPr>
          <w:p>
            <w:r/>
            <w:r>
              <w:rPr>
                <w:b w:val="0"/>
                <w:sz w:val="17"/>
              </w:rPr>
              <w:t>Aug 15–Sep 15</w:t>
            </w:r>
          </w:p>
        </w:tc>
        <w:tc>
          <w:tcPr>
            <w:tcW w:type="dxa" w:w="2880"/>
            <w:vAlign w:val="center"/>
          </w:tcPr>
          <w:p>
            <w:r/>
            <w:r>
              <w:rPr>
                <w:b w:val="0"/>
                <w:sz w:val="17"/>
              </w:rPr>
              <w:t>Medium</w:t>
            </w:r>
          </w:p>
        </w:tc>
      </w:tr>
      <w:tr>
        <w:tc>
          <w:tcPr>
            <w:tcW w:type="dxa" w:w="2880"/>
            <w:vAlign w:val="center"/>
          </w:tcPr>
          <w:p>
            <w:r/>
            <w:r>
              <w:rPr>
                <w:b w:val="0"/>
                <w:sz w:val="17"/>
              </w:rPr>
              <w:t>In delivery</w:t>
            </w:r>
          </w:p>
        </w:tc>
        <w:tc>
          <w:tcPr>
            <w:tcW w:type="dxa" w:w="4320"/>
            <w:vAlign w:val="center"/>
          </w:tcPr>
          <w:p>
            <w:r/>
            <w:r>
              <w:rPr>
                <w:b w:val="0"/>
                <w:sz w:val="17"/>
              </w:rPr>
              <w:t>Aug 28–Sep 8</w:t>
            </w:r>
          </w:p>
        </w:tc>
        <w:tc>
          <w:tcPr>
            <w:tcW w:type="dxa" w:w="2880"/>
            <w:vAlign w:val="center"/>
          </w:tcPr>
          <w:p>
            <w:r/>
            <w:r>
              <w:rPr>
                <w:b w:val="0"/>
                <w:sz w:val="17"/>
              </w:rPr>
              <w:t>High</w:t>
            </w:r>
          </w:p>
        </w:tc>
      </w:tr>
      <w:tr>
        <w:tc>
          <w:tcPr>
            <w:tcW w:type="dxa" w:w="2880"/>
            <w:vAlign w:val="center"/>
          </w:tcPr>
          <w:p>
            <w:r/>
            <w:r>
              <w:rPr>
                <w:b w:val="0"/>
                <w:sz w:val="17"/>
              </w:rPr>
              <w:t>Committed release</w:t>
            </w:r>
          </w:p>
        </w:tc>
        <w:tc>
          <w:tcPr>
            <w:tcW w:type="dxa" w:w="4320"/>
            <w:vAlign w:val="center"/>
          </w:tcPr>
          <w:p>
            <w:r/>
            <w:r>
              <w:rPr>
                <w:b w:val="0"/>
                <w:sz w:val="17"/>
              </w:rPr>
              <w:t>Sep 3</w:t>
            </w:r>
          </w:p>
        </w:tc>
        <w:tc>
          <w:tcPr>
            <w:tcW w:type="dxa" w:w="2880"/>
            <w:vAlign w:val="center"/>
          </w:tcPr>
          <w:p>
            <w:r/>
            <w:r>
              <w:rPr>
                <w:b w:val="0"/>
                <w:sz w:val="17"/>
              </w:rPr>
              <w:t>Very high / governed</w:t>
            </w:r>
          </w:p>
        </w:tc>
      </w:tr>
      <w:tr>
        <w:tc>
          <w:tcPr>
            <w:tcW w:type="dxa" w:w="2880"/>
            <w:vAlign w:val="center"/>
          </w:tcPr>
          <w:p>
            <w:r/>
            <w:r>
              <w:rPr>
                <w:b w:val="0"/>
                <w:sz w:val="17"/>
              </w:rPr>
              <w:t>Released</w:t>
            </w:r>
          </w:p>
        </w:tc>
        <w:tc>
          <w:tcPr>
            <w:tcW w:type="dxa" w:w="4320"/>
            <w:vAlign w:val="center"/>
          </w:tcPr>
          <w:p>
            <w:r/>
            <w:r>
              <w:rPr>
                <w:b w:val="0"/>
                <w:sz w:val="17"/>
              </w:rPr>
              <w:t>Sep 3 actual</w:t>
            </w:r>
          </w:p>
        </w:tc>
        <w:tc>
          <w:tcPr>
            <w:tcW w:type="dxa" w:w="2880"/>
            <w:vAlign w:val="center"/>
          </w:tcPr>
          <w:p>
            <w:r/>
            <w:r>
              <w:rPr>
                <w:b w:val="0"/>
                <w:sz w:val="17"/>
              </w:rPr>
              <w:t>Certain</w:t>
            </w:r>
          </w:p>
        </w:tc>
      </w:tr>
    </w:tbl>
    <w:p/>
    <w:p>
      <w:r>
        <w:t>This model provides the CEO and Sales with useful delivery information without forcing Product or Engineering to claim certainty before it exists.</w:t>
      </w:r>
    </w:p>
    <w:p>
      <w:pPr>
        <w:pStyle w:val="Heading1"/>
      </w:pPr>
      <w:r>
        <w:t>9. Audience-specific views from one source of truth</w:t>
      </w:r>
    </w:p>
    <w:p>
      <w:pPr>
        <w:pStyle w:val="Heading2"/>
      </w:pPr>
      <w:r>
        <w:t>CEO view: investment, outcomes and delivery risk</w:t>
      </w:r>
    </w:p>
    <w:p>
      <w:pPr>
        <w:pStyle w:val="ListBullet"/>
      </w:pPr>
      <w:r>
        <w:t>Goal / theme / major product bet</w:t>
      </w:r>
    </w:p>
    <w:p>
      <w:pPr>
        <w:pStyle w:val="ListBullet"/>
      </w:pPr>
      <w:r>
        <w:t>Expected business or product outcome</w:t>
      </w:r>
    </w:p>
    <w:p>
      <w:pPr>
        <w:pStyle w:val="ListBullet"/>
      </w:pPr>
      <w:r>
        <w:t>Roadmap quarter</w:t>
      </w:r>
    </w:p>
    <w:p>
      <w:pPr>
        <w:pStyle w:val="ListBullet"/>
      </w:pPr>
      <w:r>
        <w:t>Discovery maturity</w:t>
      </w:r>
    </w:p>
    <w:p>
      <w:pPr>
        <w:pStyle w:val="ListBullet"/>
      </w:pPr>
      <w:r>
        <w:t>Delivery forecast (where available)</w:t>
      </w:r>
    </w:p>
    <w:p>
      <w:pPr>
        <w:pStyle w:val="ListBullet"/>
      </w:pPr>
      <w:r>
        <w:t>Confidence and top risk</w:t>
      </w:r>
    </w:p>
    <w:p>
      <w:pPr>
        <w:pStyle w:val="ListBullet"/>
      </w:pPr>
      <w:r>
        <w:t>Material trade-off: what is displaced if a new priority is added</w:t>
      </w:r>
    </w:p>
    <w:p>
      <w:pPr>
        <w:pStyle w:val="Heading2"/>
      </w:pPr>
      <w:r>
        <w:t>CTO view: readiness, feasibility and delivery integrity</w:t>
      </w:r>
    </w:p>
    <w:p>
      <w:pPr>
        <w:pStyle w:val="ListBullet"/>
      </w:pPr>
      <w:r>
        <w:t>All CEO fields plus Artefact Ready status</w:t>
      </w:r>
    </w:p>
    <w:p>
      <w:pPr>
        <w:pStyle w:val="ListBullet"/>
      </w:pPr>
      <w:r>
        <w:t>Technical feasibility and architecture decisions</w:t>
      </w:r>
    </w:p>
    <w:p>
      <w:pPr>
        <w:pStyle w:val="ListBullet"/>
      </w:pPr>
      <w:r>
        <w:t>Dependencies and cross-team constraints</w:t>
      </w:r>
    </w:p>
    <w:p>
      <w:pPr>
        <w:pStyle w:val="ListBullet"/>
      </w:pPr>
      <w:r>
        <w:t>Engineering sizing/capacity status</w:t>
      </w:r>
    </w:p>
    <w:p>
      <w:pPr>
        <w:pStyle w:val="ListBullet"/>
      </w:pPr>
      <w:r>
        <w:t>Forecast confidence and forecast movement</w:t>
      </w:r>
    </w:p>
    <w:p>
      <w:pPr>
        <w:pStyle w:val="ListBullet"/>
      </w:pPr>
      <w:r>
        <w:t>Explicit criteria for Planned → Forecast → Committed</w:t>
      </w:r>
    </w:p>
    <w:p>
      <w:pPr>
        <w:pStyle w:val="Heading2"/>
      </w:pPr>
      <w:r>
        <w:t>Head of Sales view: what can be sold and said</w:t>
      </w:r>
    </w:p>
    <w:p>
      <w:pPr>
        <w:pStyle w:val="ListBullet"/>
      </w:pPr>
      <w:r>
        <w:t>Customer value / use case rather than internal implementation detail</w:t>
      </w:r>
    </w:p>
    <w:p>
      <w:pPr>
        <w:pStyle w:val="ListBullet"/>
      </w:pPr>
      <w:r>
        <w:t>Commercial communication status: Vision / Planned / Forecast / Committed</w:t>
      </w:r>
    </w:p>
    <w:p>
      <w:pPr>
        <w:pStyle w:val="ListBullet"/>
      </w:pPr>
      <w:r>
        <w:t>Approved external wording</w:t>
      </w:r>
    </w:p>
    <w:p>
      <w:pPr>
        <w:pStyle w:val="ListBullet"/>
      </w:pPr>
      <w:r>
        <w:t>Approved timing range where permitted</w:t>
      </w:r>
    </w:p>
    <w:p>
      <w:pPr>
        <w:pStyle w:val="ListBullet"/>
      </w:pPr>
      <w:r>
        <w:t>Named dependencies or caveats only when commercially relevant</w:t>
      </w:r>
    </w:p>
    <w:p>
      <w:pPr>
        <w:pStyle w:val="ListBullet"/>
      </w:pPr>
      <w:r>
        <w:t>Escalation path for strategic-deal requests</w:t>
      </w:r>
    </w:p>
    <w:p>
      <w:r>
        <w:t>Atlassian recommends tailoring roadmap views to different audiences, and JPD supports multiple curated roadmap views.⁶ Product Talk similarly emphasizes connecting desired outcomes to opportunities, candidate solutions and assumption tests rather than treating a solution list as immutable.⁷</w:t>
      </w:r>
    </w:p>
    <w:p>
      <w:pPr>
        <w:pStyle w:val="Heading1"/>
      </w:pPr>
      <w:r>
        <w:t>10. Recommended executive governance</w:t>
      </w:r>
    </w:p>
    <w:p>
      <w:pPr>
        <w:pStyle w:val="Heading2"/>
      </w:pPr>
      <w:r>
        <w:t>Monthly Product &amp; Delivery Outlook — 45–60 minutes</w:t>
      </w:r>
    </w:p>
    <w:p>
      <w:pPr>
        <w:pStyle w:val="ListNumber"/>
      </w:pPr>
      <w:r>
        <w:t>Review strategic changes: goals, themes, market/customer evidence.</w:t>
      </w:r>
    </w:p>
    <w:p>
      <w:pPr>
        <w:pStyle w:val="ListNumber"/>
      </w:pPr>
      <w:r>
        <w:t>Review roadmap movement: additions, removals and quarter changes — with rationale.</w:t>
      </w:r>
    </w:p>
    <w:p>
      <w:pPr>
        <w:pStyle w:val="ListNumber"/>
      </w:pPr>
      <w:r>
        <w:t>Review discovery movement: what became validated, Artefact Ready, paused or killed.</w:t>
      </w:r>
    </w:p>
    <w:p>
      <w:pPr>
        <w:pStyle w:val="ListNumber"/>
      </w:pPr>
      <w:r>
        <w:t>Review delivery forecast: date-range changes, confidence changes, dependencies and risks.</w:t>
      </w:r>
    </w:p>
    <w:p>
      <w:pPr>
        <w:pStyle w:val="ListNumber"/>
      </w:pPr>
      <w:r>
        <w:t>Review commercial commitments: new customer promises, exceptions and escalations.</w:t>
      </w:r>
    </w:p>
    <w:p>
      <w:pPr>
        <w:pStyle w:val="ListNumber"/>
      </w:pPr>
      <w:r>
        <w:t>Make trade-offs explicit: every material addition requires a capacity/priority conversation.</w:t>
      </w:r>
    </w:p>
    <w:p>
      <w:pPr>
        <w:pStyle w:val="Heading2"/>
      </w:pPr>
      <w:r>
        <w:t>Quarterly Product Investment Review — 90 minutes</w:t>
      </w:r>
    </w:p>
    <w:p>
      <w:pPr>
        <w:pStyle w:val="ListBullet"/>
      </w:pPr>
      <w:r>
        <w:t>CEO + CTO + Head of Product + Head of Sales (and Design/Finance as appropriate).</w:t>
      </w:r>
    </w:p>
    <w:p>
      <w:pPr>
        <w:pStyle w:val="ListBullet"/>
      </w:pPr>
      <w:r>
        <w:t>Reconfirm strategic goals and capacity allocation.</w:t>
      </w:r>
    </w:p>
    <w:p>
      <w:pPr>
        <w:pStyle w:val="ListBullet"/>
      </w:pPr>
      <w:r>
        <w:t>Approve major roadmap bets and sequencing.</w:t>
      </w:r>
    </w:p>
    <w:p>
      <w:pPr>
        <w:pStyle w:val="ListBullet"/>
      </w:pPr>
      <w:r>
        <w:t>Review evidence for high-investment bets.</w:t>
      </w:r>
    </w:p>
    <w:p>
      <w:pPr>
        <w:pStyle w:val="ListBullet"/>
      </w:pPr>
      <w:r>
        <w:t>Agree which initiatives are Directional, Planned, Forecast or Committed.</w:t>
      </w:r>
    </w:p>
    <w:p>
      <w:pPr>
        <w:pStyle w:val="ListBullet"/>
      </w:pPr>
      <w:r>
        <w:t>Retire or re-sequence bets that no longer justify investment.</w:t>
      </w:r>
    </w:p>
    <w:p>
      <w:pPr>
        <w:pStyle w:val="Heading1"/>
      </w:pPr>
      <w:r>
        <w:t>11. RACI / decision rights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456"/>
            <w:vAlign w:val="center"/>
            <w:shd w:fill="123047"/>
          </w:tcPr>
          <w:p>
            <w:r/>
            <w:r>
              <w:rPr>
                <w:b/>
                <w:color w:val="FFFFFF"/>
                <w:sz w:val="17"/>
              </w:rPr>
              <w:t>Decision</w:t>
            </w:r>
          </w:p>
        </w:tc>
        <w:tc>
          <w:tcPr>
            <w:tcW w:type="dxa" w:w="1584"/>
            <w:vAlign w:val="center"/>
            <w:shd w:fill="123047"/>
          </w:tcPr>
          <w:p>
            <w:r/>
            <w:r>
              <w:rPr>
                <w:b/>
                <w:color w:val="FFFFFF"/>
                <w:sz w:val="17"/>
              </w:rPr>
              <w:t>Product</w:t>
            </w:r>
          </w:p>
        </w:tc>
        <w:tc>
          <w:tcPr>
            <w:tcW w:type="dxa" w:w="1872"/>
            <w:vAlign w:val="center"/>
            <w:shd w:fill="123047"/>
          </w:tcPr>
          <w:p>
            <w:r/>
            <w:r>
              <w:rPr>
                <w:b/>
                <w:color w:val="FFFFFF"/>
                <w:sz w:val="17"/>
              </w:rPr>
              <w:t>CTO/Eng</w:t>
            </w:r>
          </w:p>
        </w:tc>
        <w:tc>
          <w:tcPr>
            <w:tcW w:type="dxa" w:w="1440"/>
            <w:vAlign w:val="center"/>
            <w:shd w:fill="123047"/>
          </w:tcPr>
          <w:p>
            <w:r/>
            <w:r>
              <w:rPr>
                <w:b/>
                <w:color w:val="FFFFFF"/>
                <w:sz w:val="17"/>
              </w:rPr>
              <w:t>CEO</w:t>
            </w:r>
          </w:p>
        </w:tc>
        <w:tc>
          <w:tcPr>
            <w:tcW w:type="dxa" w:w="1728"/>
            <w:vAlign w:val="center"/>
            <w:shd w:fill="123047"/>
          </w:tcPr>
          <w:p>
            <w:r/>
            <w:r>
              <w:rPr>
                <w:b/>
                <w:color w:val="FFFFFF"/>
                <w:sz w:val="17"/>
              </w:rPr>
              <w:t>Sales</w:t>
            </w:r>
          </w:p>
        </w:tc>
      </w:tr>
      <w:tr>
        <w:tc>
          <w:tcPr>
            <w:tcW w:type="dxa" w:w="3456"/>
            <w:vAlign w:val="center"/>
          </w:tcPr>
          <w:p>
            <w:r/>
            <w:r>
              <w:rPr>
                <w:b w:val="0"/>
                <w:sz w:val="17"/>
              </w:rPr>
              <w:t>Product goals / strategic themes</w:t>
            </w:r>
          </w:p>
        </w:tc>
        <w:tc>
          <w:tcPr>
            <w:tcW w:type="dxa" w:w="1584"/>
            <w:vAlign w:val="center"/>
          </w:tcPr>
          <w:p>
            <w:r/>
            <w:r>
              <w:rPr>
                <w:b w:val="0"/>
                <w:sz w:val="17"/>
              </w:rPr>
              <w:t>R</w:t>
            </w:r>
          </w:p>
        </w:tc>
        <w:tc>
          <w:tcPr>
            <w:tcW w:type="dxa" w:w="1872"/>
            <w:vAlign w:val="center"/>
          </w:tcPr>
          <w:p>
            <w:r/>
            <w:r>
              <w:rPr>
                <w:b w:val="0"/>
                <w:sz w:val="17"/>
              </w:rPr>
              <w:t>C</w:t>
            </w:r>
          </w:p>
        </w:tc>
        <w:tc>
          <w:tcPr>
            <w:tcW w:type="dxa" w:w="1440"/>
            <w:vAlign w:val="center"/>
          </w:tcPr>
          <w:p>
            <w:r/>
            <w:r>
              <w:rPr>
                <w:b w:val="0"/>
                <w:sz w:val="17"/>
              </w:rPr>
              <w:t>A</w:t>
            </w:r>
          </w:p>
        </w:tc>
        <w:tc>
          <w:tcPr>
            <w:tcW w:type="dxa" w:w="1728"/>
            <w:vAlign w:val="center"/>
          </w:tcPr>
          <w:p>
            <w:r/>
            <w:r>
              <w:rPr>
                <w:b w:val="0"/>
                <w:sz w:val="17"/>
              </w:rPr>
              <w:t>C</w:t>
            </w:r>
          </w:p>
        </w:tc>
      </w:tr>
      <w:tr>
        <w:tc>
          <w:tcPr>
            <w:tcW w:type="dxa" w:w="3456"/>
            <w:vAlign w:val="center"/>
          </w:tcPr>
          <w:p>
            <w:r/>
            <w:r>
              <w:rPr>
                <w:b w:val="0"/>
                <w:sz w:val="17"/>
              </w:rPr>
              <w:t>Roadmap prioritization / sequencing</w:t>
            </w:r>
          </w:p>
        </w:tc>
        <w:tc>
          <w:tcPr>
            <w:tcW w:type="dxa" w:w="1584"/>
            <w:vAlign w:val="center"/>
          </w:tcPr>
          <w:p>
            <w:r/>
            <w:r>
              <w:rPr>
                <w:b w:val="0"/>
                <w:sz w:val="17"/>
              </w:rPr>
              <w:t>R</w:t>
            </w:r>
          </w:p>
        </w:tc>
        <w:tc>
          <w:tcPr>
            <w:tcW w:type="dxa" w:w="1872"/>
            <w:vAlign w:val="center"/>
          </w:tcPr>
          <w:p>
            <w:r/>
            <w:r>
              <w:rPr>
                <w:b w:val="0"/>
                <w:sz w:val="17"/>
              </w:rPr>
              <w:t>C</w:t>
            </w:r>
          </w:p>
        </w:tc>
        <w:tc>
          <w:tcPr>
            <w:tcW w:type="dxa" w:w="1440"/>
            <w:vAlign w:val="center"/>
          </w:tcPr>
          <w:p>
            <w:r/>
            <w:r>
              <w:rPr>
                <w:b w:val="0"/>
                <w:sz w:val="17"/>
              </w:rPr>
              <w:t>A for major trade-offs</w:t>
            </w:r>
          </w:p>
        </w:tc>
        <w:tc>
          <w:tcPr>
            <w:tcW w:type="dxa" w:w="1728"/>
            <w:vAlign w:val="center"/>
          </w:tcPr>
          <w:p>
            <w:r/>
            <w:r>
              <w:rPr>
                <w:b w:val="0"/>
                <w:sz w:val="17"/>
              </w:rPr>
              <w:t>C</w:t>
            </w:r>
          </w:p>
        </w:tc>
      </w:tr>
      <w:tr>
        <w:tc>
          <w:tcPr>
            <w:tcW w:type="dxa" w:w="3456"/>
            <w:vAlign w:val="center"/>
          </w:tcPr>
          <w:p>
            <w:r/>
            <w:r>
              <w:rPr>
                <w:b w:val="0"/>
                <w:sz w:val="17"/>
              </w:rPr>
              <w:t>Discovery maturity / Artefact Ready</w:t>
            </w:r>
          </w:p>
        </w:tc>
        <w:tc>
          <w:tcPr>
            <w:tcW w:type="dxa" w:w="1584"/>
            <w:vAlign w:val="center"/>
          </w:tcPr>
          <w:p>
            <w:r/>
            <w:r>
              <w:rPr>
                <w:b w:val="0"/>
                <w:sz w:val="17"/>
              </w:rPr>
              <w:t>A/R</w:t>
            </w:r>
          </w:p>
        </w:tc>
        <w:tc>
          <w:tcPr>
            <w:tcW w:type="dxa" w:w="1872"/>
            <w:vAlign w:val="center"/>
          </w:tcPr>
          <w:p>
            <w:r/>
            <w:r>
              <w:rPr>
                <w:b w:val="0"/>
                <w:sz w:val="17"/>
              </w:rPr>
              <w:t>C/R on technical readiness</w:t>
            </w:r>
          </w:p>
        </w:tc>
        <w:tc>
          <w:tcPr>
            <w:tcW w:type="dxa" w:w="1440"/>
            <w:vAlign w:val="center"/>
          </w:tcPr>
          <w:p>
            <w:r/>
            <w:r>
              <w:rPr>
                <w:b w:val="0"/>
                <w:sz w:val="17"/>
              </w:rPr>
              <w:t>I</w:t>
            </w:r>
          </w:p>
        </w:tc>
        <w:tc>
          <w:tcPr>
            <w:tcW w:type="dxa" w:w="1728"/>
            <w:vAlign w:val="center"/>
          </w:tcPr>
          <w:p>
            <w:r/>
            <w:r>
              <w:rPr>
                <w:b w:val="0"/>
                <w:sz w:val="17"/>
              </w:rPr>
              <w:t>C via evidence</w:t>
            </w:r>
          </w:p>
        </w:tc>
      </w:tr>
      <w:tr>
        <w:tc>
          <w:tcPr>
            <w:tcW w:type="dxa" w:w="3456"/>
            <w:vAlign w:val="center"/>
          </w:tcPr>
          <w:p>
            <w:r/>
            <w:r>
              <w:rPr>
                <w:b w:val="0"/>
                <w:sz w:val="17"/>
              </w:rPr>
              <w:t>Engineering delivery forecast</w:t>
            </w:r>
          </w:p>
        </w:tc>
        <w:tc>
          <w:tcPr>
            <w:tcW w:type="dxa" w:w="1584"/>
            <w:vAlign w:val="center"/>
          </w:tcPr>
          <w:p>
            <w:r/>
            <w:r>
              <w:rPr>
                <w:b w:val="0"/>
                <w:sz w:val="17"/>
              </w:rPr>
              <w:t>C</w:t>
            </w:r>
          </w:p>
        </w:tc>
        <w:tc>
          <w:tcPr>
            <w:tcW w:type="dxa" w:w="1872"/>
            <w:vAlign w:val="center"/>
          </w:tcPr>
          <w:p>
            <w:r/>
            <w:r>
              <w:rPr>
                <w:b w:val="0"/>
                <w:sz w:val="17"/>
              </w:rPr>
              <w:t>A/R</w:t>
            </w:r>
          </w:p>
        </w:tc>
        <w:tc>
          <w:tcPr>
            <w:tcW w:type="dxa" w:w="1440"/>
            <w:vAlign w:val="center"/>
          </w:tcPr>
          <w:p>
            <w:r/>
            <w:r>
              <w:rPr>
                <w:b w:val="0"/>
                <w:sz w:val="17"/>
              </w:rPr>
              <w:t>I</w:t>
            </w:r>
          </w:p>
        </w:tc>
        <w:tc>
          <w:tcPr>
            <w:tcW w:type="dxa" w:w="1728"/>
            <w:vAlign w:val="center"/>
          </w:tcPr>
          <w:p>
            <w:r/>
            <w:r>
              <w:rPr>
                <w:b w:val="0"/>
                <w:sz w:val="17"/>
              </w:rPr>
              <w:t>I</w:t>
            </w:r>
          </w:p>
        </w:tc>
      </w:tr>
      <w:tr>
        <w:tc>
          <w:tcPr>
            <w:tcW w:type="dxa" w:w="3456"/>
            <w:vAlign w:val="center"/>
          </w:tcPr>
          <w:p>
            <w:r/>
            <w:r>
              <w:rPr>
                <w:b w:val="0"/>
                <w:sz w:val="17"/>
              </w:rPr>
              <w:t>Committed release status</w:t>
            </w:r>
          </w:p>
        </w:tc>
        <w:tc>
          <w:tcPr>
            <w:tcW w:type="dxa" w:w="1584"/>
            <w:vAlign w:val="center"/>
          </w:tcPr>
          <w:p>
            <w:r/>
            <w:r>
              <w:rPr>
                <w:b w:val="0"/>
                <w:sz w:val="17"/>
              </w:rPr>
              <w:t>R</w:t>
            </w:r>
          </w:p>
        </w:tc>
        <w:tc>
          <w:tcPr>
            <w:tcW w:type="dxa" w:w="1872"/>
            <w:vAlign w:val="center"/>
          </w:tcPr>
          <w:p>
            <w:r/>
            <w:r>
              <w:rPr>
                <w:b w:val="0"/>
                <w:sz w:val="17"/>
              </w:rPr>
              <w:t>R</w:t>
            </w:r>
          </w:p>
        </w:tc>
        <w:tc>
          <w:tcPr>
            <w:tcW w:type="dxa" w:w="1440"/>
            <w:vAlign w:val="center"/>
          </w:tcPr>
          <w:p>
            <w:r/>
            <w:r>
              <w:rPr>
                <w:b w:val="0"/>
                <w:sz w:val="17"/>
              </w:rPr>
              <w:t>A for material commitments</w:t>
            </w:r>
          </w:p>
        </w:tc>
        <w:tc>
          <w:tcPr>
            <w:tcW w:type="dxa" w:w="1728"/>
            <w:vAlign w:val="center"/>
          </w:tcPr>
          <w:p>
            <w:r/>
            <w:r>
              <w:rPr>
                <w:b w:val="0"/>
                <w:sz w:val="17"/>
              </w:rPr>
              <w:t>C</w:t>
            </w:r>
          </w:p>
        </w:tc>
      </w:tr>
      <w:tr>
        <w:tc>
          <w:tcPr>
            <w:tcW w:type="dxa" w:w="3456"/>
            <w:vAlign w:val="center"/>
          </w:tcPr>
          <w:p>
            <w:r/>
            <w:r>
              <w:rPr>
                <w:b w:val="0"/>
                <w:sz w:val="17"/>
              </w:rPr>
              <w:t>Customer-facing date promise</w:t>
            </w:r>
          </w:p>
        </w:tc>
        <w:tc>
          <w:tcPr>
            <w:tcW w:type="dxa" w:w="1584"/>
            <w:vAlign w:val="center"/>
          </w:tcPr>
          <w:p>
            <w:r/>
            <w:r>
              <w:rPr>
                <w:b w:val="0"/>
                <w:sz w:val="17"/>
              </w:rPr>
              <w:t>C</w:t>
            </w:r>
          </w:p>
        </w:tc>
        <w:tc>
          <w:tcPr>
            <w:tcW w:type="dxa" w:w="1872"/>
            <w:vAlign w:val="center"/>
          </w:tcPr>
          <w:p>
            <w:r/>
            <w:r>
              <w:rPr>
                <w:b w:val="0"/>
                <w:sz w:val="17"/>
              </w:rPr>
              <w:t>C</w:t>
            </w:r>
          </w:p>
        </w:tc>
        <w:tc>
          <w:tcPr>
            <w:tcW w:type="dxa" w:w="1440"/>
            <w:vAlign w:val="center"/>
          </w:tcPr>
          <w:p>
            <w:r/>
            <w:r>
              <w:rPr>
                <w:b w:val="0"/>
                <w:sz w:val="17"/>
              </w:rPr>
              <w:t>A for exceptional strategic commitments</w:t>
            </w:r>
          </w:p>
        </w:tc>
        <w:tc>
          <w:tcPr>
            <w:tcW w:type="dxa" w:w="1728"/>
            <w:vAlign w:val="center"/>
          </w:tcPr>
          <w:p>
            <w:r/>
            <w:r>
              <w:rPr>
                <w:b w:val="0"/>
                <w:sz w:val="17"/>
              </w:rPr>
              <w:t>R within approved policy</w:t>
            </w:r>
          </w:p>
        </w:tc>
      </w:tr>
    </w:tbl>
    <w:p/>
    <w:p>
      <w:r>
        <w:t>R = Responsible, A = Accountable, C = Consulted, I = Informed. Adjust to your organization; the key is that Product cannot unilaterally promise Engineering dates, and Sales cannot convert roadmap quarters into customer commitments without the agreed gate.</w:t>
      </w:r>
    </w:p>
    <w:p>
      <w:pPr>
        <w:pStyle w:val="Heading1"/>
      </w:pPr>
      <w:r>
        <w:t>12. The language to use with each executive</w:t>
      </w:r>
    </w:p>
    <w:p>
      <w:pPr>
        <w:pStyle w:val="Heading2"/>
      </w:pPr>
      <w:r>
        <w:t>With the CTO</w:t>
      </w:r>
    </w:p>
    <w:p>
      <w:r>
        <w:t>“I agree that an early-discovery item cannot carry a reliable delivery commitment. Where I differ is the conclusion that it therefore cannot be on the roadmap. Let’s use the roadmap for strategic intent, our existing maturity/Artefact Ready field for readiness, and a joint delivery forecast for date certainty. We can agree a hard Definition of Committed so Engineering is never implicitly committed by a roadmap quarter.”</w:t>
      </w:r>
    </w:p>
    <w:p>
      <w:pPr>
        <w:pStyle w:val="Heading2"/>
      </w:pPr>
      <w:r>
        <w:t>With the CEO</w:t>
      </w:r>
    </w:p>
    <w:p>
      <w:r>
        <w:t>“You should have delivery visibility. The roadmap alone cannot honestly provide the same precision for every horizon. We will give you one view that combines strategic priority, maturity, delivery forecast and confidence, so you can distinguish where we are choosing to invest from when Engineering can reliably forecast availability.”</w:t>
      </w:r>
    </w:p>
    <w:p>
      <w:pPr>
        <w:pStyle w:val="Heading2"/>
      </w:pPr>
      <w:r>
        <w:t>With the Head of Sales</w:t>
      </w:r>
    </w:p>
    <w:p>
      <w:r>
        <w:t>“You need to know both what is coming and what you can promise. We will expose a commercial status for every major item — Vision, Planned, Forecast or Committed — plus approved timing language. This should make customer conversations easier while preventing a roadmap quarter from accidentally becoming a contractual date.”</w:t>
      </w:r>
    </w:p>
    <w:p>
      <w:pPr>
        <w:pStyle w:val="Heading1"/>
      </w:pPr>
      <w:r>
        <w:t>13. How to answer common objections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23047"/>
          </w:tcPr>
          <w:p>
            <w:r/>
            <w:r>
              <w:rPr>
                <w:b/>
                <w:color w:val="FFFFFF"/>
                <w:sz w:val="17"/>
              </w:rPr>
              <w:t>Objection</w:t>
            </w:r>
          </w:p>
        </w:tc>
        <w:tc>
          <w:tcPr>
            <w:tcW w:type="dxa" w:w="7200"/>
            <w:vAlign w:val="center"/>
            <w:shd w:fill="123047"/>
          </w:tcPr>
          <w:p>
            <w:r/>
            <w:r>
              <w:rPr>
                <w:b/>
                <w:color w:val="FFFFFF"/>
                <w:sz w:val="17"/>
              </w:rPr>
              <w:t>Recommended response</w:t>
            </w:r>
          </w:p>
        </w:tc>
      </w:tr>
      <w:tr>
        <w:tc>
          <w:tcPr>
            <w:tcW w:type="dxa" w:w="3456"/>
            <w:vAlign w:val="center"/>
          </w:tcPr>
          <w:p>
            <w:r/>
            <w:r>
              <w:rPr>
                <w:b w:val="0"/>
                <w:sz w:val="17"/>
              </w:rPr>
              <w:t>“If it has no PRD/prototype, it is not a roadmap item.”</w:t>
            </w:r>
          </w:p>
        </w:tc>
        <w:tc>
          <w:tcPr>
            <w:tcW w:type="dxa" w:w="7200"/>
            <w:vAlign w:val="center"/>
          </w:tcPr>
          <w:p>
            <w:r/>
            <w:r>
              <w:rPr>
                <w:b w:val="0"/>
                <w:sz w:val="17"/>
              </w:rPr>
              <w:t>A roadmap can contain a prioritized bet before full discovery. The maturity field exists precisely to expose that uncertainty. Complete artifacts are a readiness criterion, not the definition of strategic intent.</w:t>
            </w:r>
          </w:p>
        </w:tc>
      </w:tr>
      <w:tr>
        <w:tc>
          <w:tcPr>
            <w:tcW w:type="dxa" w:w="3456"/>
            <w:vAlign w:val="center"/>
          </w:tcPr>
          <w:p>
            <w:r/>
            <w:r>
              <w:rPr>
                <w:b w:val="0"/>
                <w:sz w:val="17"/>
              </w:rPr>
              <w:t>“Quarterly placement means we committed to that quarter.”</w:t>
            </w:r>
          </w:p>
        </w:tc>
        <w:tc>
          <w:tcPr>
            <w:tcW w:type="dxa" w:w="7200"/>
            <w:vAlign w:val="center"/>
          </w:tcPr>
          <w:p>
            <w:r/>
            <w:r>
              <w:rPr>
                <w:b w:val="0"/>
                <w:sz w:val="17"/>
              </w:rPr>
              <w:t>Only if the organization explicitly defines it that way. We recommend separating target quarter from commitment status and delivery forecast.</w:t>
            </w:r>
          </w:p>
        </w:tc>
      </w:tr>
      <w:tr>
        <w:tc>
          <w:tcPr>
            <w:tcW w:type="dxa" w:w="3456"/>
            <w:vAlign w:val="center"/>
          </w:tcPr>
          <w:p>
            <w:r/>
            <w:r>
              <w:rPr>
                <w:b w:val="0"/>
                <w:sz w:val="17"/>
              </w:rPr>
              <w:t>“Sales needs exact dates.”</w:t>
            </w:r>
          </w:p>
        </w:tc>
        <w:tc>
          <w:tcPr>
            <w:tcW w:type="dxa" w:w="7200"/>
            <w:vAlign w:val="center"/>
          </w:tcPr>
          <w:p>
            <w:r/>
            <w:r>
              <w:rPr>
                <w:b w:val="0"/>
                <w:sz w:val="17"/>
              </w:rPr>
              <w:t>Sales needs the most accurate approved date information available. Exactness should increase with maturity; false precision creates more customer risk than transparent ranges.</w:t>
            </w:r>
          </w:p>
        </w:tc>
      </w:tr>
      <w:tr>
        <w:tc>
          <w:tcPr>
            <w:tcW w:type="dxa" w:w="3456"/>
            <w:vAlign w:val="center"/>
          </w:tcPr>
          <w:p>
            <w:r/>
            <w:r>
              <w:rPr>
                <w:b w:val="0"/>
                <w:sz w:val="17"/>
              </w:rPr>
              <w:t>“The CEO needs accountability.”</w:t>
            </w:r>
          </w:p>
        </w:tc>
        <w:tc>
          <w:tcPr>
            <w:tcW w:type="dxa" w:w="7200"/>
            <w:vAlign w:val="center"/>
          </w:tcPr>
          <w:p>
            <w:r/>
            <w:r>
              <w:rPr>
                <w:b w:val="0"/>
                <w:sz w:val="17"/>
              </w:rPr>
              <w:t>Accountability improves when intent, evidence, forecast and commitment are separately visible. Changes then have reasons and owners rather than being hidden as “roadmap slippage.”</w:t>
            </w:r>
          </w:p>
        </w:tc>
      </w:tr>
      <w:tr>
        <w:tc>
          <w:tcPr>
            <w:tcW w:type="dxa" w:w="3456"/>
            <w:vAlign w:val="center"/>
          </w:tcPr>
          <w:p>
            <w:r/>
            <w:r>
              <w:rPr>
                <w:b w:val="0"/>
                <w:sz w:val="17"/>
              </w:rPr>
              <w:t>“This creates too many artifacts.”</w:t>
            </w:r>
          </w:p>
        </w:tc>
        <w:tc>
          <w:tcPr>
            <w:tcW w:type="dxa" w:w="7200"/>
            <w:vAlign w:val="center"/>
          </w:tcPr>
          <w:p>
            <w:r/>
            <w:r>
              <w:rPr>
                <w:b w:val="0"/>
                <w:sz w:val="17"/>
              </w:rPr>
              <w:t>Use one underlying system of record. Different views and fields answer different decisions; do not maintain parallel manual roadmaps.</w:t>
            </w:r>
          </w:p>
        </w:tc>
      </w:tr>
    </w:tbl>
    <w:p/>
    <w:p>
      <w:pPr>
        <w:pStyle w:val="Heading1"/>
      </w:pPr>
      <w:r>
        <w:t>14. Recommended JPD configuration</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23047"/>
          </w:tcPr>
          <w:p>
            <w:r/>
            <w:r>
              <w:rPr>
                <w:b/>
                <w:color w:val="FFFFFF"/>
                <w:sz w:val="17"/>
              </w:rPr>
              <w:t>Field / object</w:t>
            </w:r>
          </w:p>
        </w:tc>
        <w:tc>
          <w:tcPr>
            <w:tcW w:type="dxa" w:w="4320"/>
            <w:vAlign w:val="center"/>
            <w:shd w:fill="123047"/>
          </w:tcPr>
          <w:p>
            <w:r/>
            <w:r>
              <w:rPr>
                <w:b/>
                <w:color w:val="FFFFFF"/>
                <w:sz w:val="17"/>
              </w:rPr>
              <w:t>Purpose</w:t>
            </w:r>
          </w:p>
        </w:tc>
        <w:tc>
          <w:tcPr>
            <w:tcW w:type="dxa" w:w="3888"/>
            <w:vAlign w:val="center"/>
            <w:shd w:fill="123047"/>
          </w:tcPr>
          <w:p>
            <w:r/>
            <w:r>
              <w:rPr>
                <w:b/>
                <w:color w:val="FFFFFF"/>
                <w:sz w:val="17"/>
              </w:rPr>
              <w:t>Example</w:t>
            </w:r>
          </w:p>
        </w:tc>
      </w:tr>
      <w:tr>
        <w:tc>
          <w:tcPr>
            <w:tcW w:type="dxa" w:w="2448"/>
            <w:vAlign w:val="center"/>
          </w:tcPr>
          <w:p>
            <w:r/>
            <w:r>
              <w:rPr>
                <w:b w:val="0"/>
                <w:sz w:val="17"/>
              </w:rPr>
              <w:t>Goal</w:t>
            </w:r>
          </w:p>
        </w:tc>
        <w:tc>
          <w:tcPr>
            <w:tcW w:type="dxa" w:w="4320"/>
            <w:vAlign w:val="center"/>
          </w:tcPr>
          <w:p>
            <w:r/>
            <w:r>
              <w:rPr>
                <w:b w:val="0"/>
                <w:sz w:val="17"/>
              </w:rPr>
              <w:t>Strategic outcome</w:t>
            </w:r>
          </w:p>
        </w:tc>
        <w:tc>
          <w:tcPr>
            <w:tcW w:type="dxa" w:w="3888"/>
            <w:vAlign w:val="center"/>
          </w:tcPr>
          <w:p>
            <w:r/>
            <w:r>
              <w:rPr>
                <w:b w:val="0"/>
                <w:sz w:val="17"/>
              </w:rPr>
              <w:t>Increase enterprise adoption</w:t>
            </w:r>
          </w:p>
        </w:tc>
      </w:tr>
      <w:tr>
        <w:tc>
          <w:tcPr>
            <w:tcW w:type="dxa" w:w="2448"/>
            <w:vAlign w:val="center"/>
          </w:tcPr>
          <w:p>
            <w:r/>
            <w:r>
              <w:rPr>
                <w:b w:val="0"/>
                <w:sz w:val="17"/>
              </w:rPr>
              <w:t>Theme</w:t>
            </w:r>
          </w:p>
        </w:tc>
        <w:tc>
          <w:tcPr>
            <w:tcW w:type="dxa" w:w="4320"/>
            <w:vAlign w:val="center"/>
          </w:tcPr>
          <w:p>
            <w:r/>
            <w:r>
              <w:rPr>
                <w:b w:val="0"/>
                <w:sz w:val="17"/>
              </w:rPr>
              <w:t>Investment area</w:t>
            </w:r>
          </w:p>
        </w:tc>
        <w:tc>
          <w:tcPr>
            <w:tcW w:type="dxa" w:w="3888"/>
            <w:vAlign w:val="center"/>
          </w:tcPr>
          <w:p>
            <w:r/>
            <w:r>
              <w:rPr>
                <w:b w:val="0"/>
                <w:sz w:val="17"/>
              </w:rPr>
              <w:t>Data onboarding</w:t>
            </w:r>
          </w:p>
        </w:tc>
      </w:tr>
      <w:tr>
        <w:tc>
          <w:tcPr>
            <w:tcW w:type="dxa" w:w="2448"/>
            <w:vAlign w:val="center"/>
          </w:tcPr>
          <w:p>
            <w:r/>
            <w:r>
              <w:rPr>
                <w:b w:val="0"/>
                <w:sz w:val="17"/>
              </w:rPr>
              <w:t>Problem / opportunity</w:t>
            </w:r>
          </w:p>
        </w:tc>
        <w:tc>
          <w:tcPr>
            <w:tcW w:type="dxa" w:w="4320"/>
            <w:vAlign w:val="center"/>
          </w:tcPr>
          <w:p>
            <w:r/>
            <w:r>
              <w:rPr>
                <w:b w:val="0"/>
                <w:sz w:val="17"/>
              </w:rPr>
              <w:t>Customer need (recommended if not explicit)</w:t>
            </w:r>
          </w:p>
        </w:tc>
        <w:tc>
          <w:tcPr>
            <w:tcW w:type="dxa" w:w="3888"/>
            <w:vAlign w:val="center"/>
          </w:tcPr>
          <w:p>
            <w:r/>
            <w:r>
              <w:rPr>
                <w:b w:val="0"/>
                <w:sz w:val="17"/>
              </w:rPr>
              <w:t>Enterprise setup takes 6–8 weeks</w:t>
            </w:r>
          </w:p>
        </w:tc>
      </w:tr>
      <w:tr>
        <w:tc>
          <w:tcPr>
            <w:tcW w:type="dxa" w:w="2448"/>
            <w:vAlign w:val="center"/>
          </w:tcPr>
          <w:p>
            <w:r/>
            <w:r>
              <w:rPr>
                <w:b w:val="0"/>
                <w:sz w:val="17"/>
              </w:rPr>
              <w:t>Solution / bet</w:t>
            </w:r>
          </w:p>
        </w:tc>
        <w:tc>
          <w:tcPr>
            <w:tcW w:type="dxa" w:w="4320"/>
            <w:vAlign w:val="center"/>
          </w:tcPr>
          <w:p>
            <w:r/>
            <w:r>
              <w:rPr>
                <w:b w:val="0"/>
                <w:sz w:val="17"/>
              </w:rPr>
              <w:t>Current hypothesis</w:t>
            </w:r>
          </w:p>
        </w:tc>
        <w:tc>
          <w:tcPr>
            <w:tcW w:type="dxa" w:w="3888"/>
            <w:vAlign w:val="center"/>
          </w:tcPr>
          <w:p>
            <w:r/>
            <w:r>
              <w:rPr>
                <w:b w:val="0"/>
                <w:sz w:val="17"/>
              </w:rPr>
              <w:t>Automated mapping</w:t>
            </w:r>
          </w:p>
        </w:tc>
      </w:tr>
      <w:tr>
        <w:tc>
          <w:tcPr>
            <w:tcW w:type="dxa" w:w="2448"/>
            <w:vAlign w:val="center"/>
          </w:tcPr>
          <w:p>
            <w:r/>
            <w:r>
              <w:rPr>
                <w:b w:val="0"/>
                <w:sz w:val="17"/>
              </w:rPr>
              <w:t>Target quarter</w:t>
            </w:r>
          </w:p>
        </w:tc>
        <w:tc>
          <w:tcPr>
            <w:tcW w:type="dxa" w:w="4320"/>
            <w:vAlign w:val="center"/>
          </w:tcPr>
          <w:p>
            <w:r/>
            <w:r>
              <w:rPr>
                <w:b w:val="0"/>
                <w:sz w:val="17"/>
              </w:rPr>
              <w:t>Planning intent</w:t>
            </w:r>
          </w:p>
        </w:tc>
        <w:tc>
          <w:tcPr>
            <w:tcW w:type="dxa" w:w="3888"/>
            <w:vAlign w:val="center"/>
          </w:tcPr>
          <w:p>
            <w:r/>
            <w:r>
              <w:rPr>
                <w:b w:val="0"/>
                <w:sz w:val="17"/>
              </w:rPr>
              <w:t>Q2 2027</w:t>
            </w:r>
          </w:p>
        </w:tc>
      </w:tr>
      <w:tr>
        <w:tc>
          <w:tcPr>
            <w:tcW w:type="dxa" w:w="2448"/>
            <w:vAlign w:val="center"/>
          </w:tcPr>
          <w:p>
            <w:r/>
            <w:r>
              <w:rPr>
                <w:b w:val="0"/>
                <w:sz w:val="17"/>
              </w:rPr>
              <w:t>Discovery maturity</w:t>
            </w:r>
          </w:p>
        </w:tc>
        <w:tc>
          <w:tcPr>
            <w:tcW w:type="dxa" w:w="4320"/>
            <w:vAlign w:val="center"/>
          </w:tcPr>
          <w:p>
            <w:r/>
            <w:r>
              <w:rPr>
                <w:b w:val="0"/>
                <w:sz w:val="17"/>
              </w:rPr>
              <w:t>Evidence/readiness</w:t>
            </w:r>
          </w:p>
        </w:tc>
        <w:tc>
          <w:tcPr>
            <w:tcW w:type="dxa" w:w="3888"/>
            <w:vAlign w:val="center"/>
          </w:tcPr>
          <w:p>
            <w:r/>
            <w:r>
              <w:rPr>
                <w:b w:val="0"/>
                <w:sz w:val="17"/>
              </w:rPr>
              <w:t>Solution validation</w:t>
            </w:r>
          </w:p>
        </w:tc>
      </w:tr>
      <w:tr>
        <w:tc>
          <w:tcPr>
            <w:tcW w:type="dxa" w:w="2448"/>
            <w:vAlign w:val="center"/>
          </w:tcPr>
          <w:p>
            <w:r/>
            <w:r>
              <w:rPr>
                <w:b w:val="0"/>
                <w:sz w:val="17"/>
              </w:rPr>
              <w:t>Artefact Ready</w:t>
            </w:r>
          </w:p>
        </w:tc>
        <w:tc>
          <w:tcPr>
            <w:tcW w:type="dxa" w:w="4320"/>
            <w:vAlign w:val="center"/>
          </w:tcPr>
          <w:p>
            <w:r/>
            <w:r>
              <w:rPr>
                <w:b w:val="0"/>
                <w:sz w:val="17"/>
              </w:rPr>
              <w:t>Product readiness gate</w:t>
            </w:r>
          </w:p>
        </w:tc>
        <w:tc>
          <w:tcPr>
            <w:tcW w:type="dxa" w:w="3888"/>
            <w:vAlign w:val="center"/>
          </w:tcPr>
          <w:p>
            <w:r/>
            <w:r>
              <w:rPr>
                <w:b w:val="0"/>
                <w:sz w:val="17"/>
              </w:rPr>
              <w:t>No</w:t>
            </w:r>
          </w:p>
        </w:tc>
      </w:tr>
      <w:tr>
        <w:tc>
          <w:tcPr>
            <w:tcW w:type="dxa" w:w="2448"/>
            <w:vAlign w:val="center"/>
          </w:tcPr>
          <w:p>
            <w:r/>
            <w:r>
              <w:rPr>
                <w:b w:val="0"/>
                <w:sz w:val="17"/>
              </w:rPr>
              <w:t>Commitment status</w:t>
            </w:r>
          </w:p>
        </w:tc>
        <w:tc>
          <w:tcPr>
            <w:tcW w:type="dxa" w:w="4320"/>
            <w:vAlign w:val="center"/>
          </w:tcPr>
          <w:p>
            <w:r/>
            <w:r>
              <w:rPr>
                <w:b w:val="0"/>
                <w:sz w:val="17"/>
              </w:rPr>
              <w:t>Business/engineering contract</w:t>
            </w:r>
          </w:p>
        </w:tc>
        <w:tc>
          <w:tcPr>
            <w:tcW w:type="dxa" w:w="3888"/>
            <w:vAlign w:val="center"/>
          </w:tcPr>
          <w:p>
            <w:r/>
            <w:r>
              <w:rPr>
                <w:b w:val="0"/>
                <w:sz w:val="17"/>
              </w:rPr>
              <w:t>Planned</w:t>
            </w:r>
          </w:p>
        </w:tc>
      </w:tr>
      <w:tr>
        <w:tc>
          <w:tcPr>
            <w:tcW w:type="dxa" w:w="2448"/>
            <w:vAlign w:val="center"/>
          </w:tcPr>
          <w:p>
            <w:r/>
            <w:r>
              <w:rPr>
                <w:b w:val="0"/>
                <w:sz w:val="17"/>
              </w:rPr>
              <w:t>Delivery forecast</w:t>
            </w:r>
          </w:p>
        </w:tc>
        <w:tc>
          <w:tcPr>
            <w:tcW w:type="dxa" w:w="4320"/>
            <w:vAlign w:val="center"/>
          </w:tcPr>
          <w:p>
            <w:r/>
            <w:r>
              <w:rPr>
                <w:b w:val="0"/>
                <w:sz w:val="17"/>
              </w:rPr>
              <w:t>Execution forecast</w:t>
            </w:r>
          </w:p>
        </w:tc>
        <w:tc>
          <w:tcPr>
            <w:tcW w:type="dxa" w:w="3888"/>
            <w:vAlign w:val="center"/>
          </w:tcPr>
          <w:p>
            <w:r/>
            <w:r>
              <w:rPr>
                <w:b w:val="0"/>
                <w:sz w:val="17"/>
              </w:rPr>
              <w:t>Not yet available</w:t>
            </w:r>
          </w:p>
        </w:tc>
      </w:tr>
      <w:tr>
        <w:tc>
          <w:tcPr>
            <w:tcW w:type="dxa" w:w="2448"/>
            <w:vAlign w:val="center"/>
          </w:tcPr>
          <w:p>
            <w:r/>
            <w:r>
              <w:rPr>
                <w:b w:val="0"/>
                <w:sz w:val="17"/>
              </w:rPr>
              <w:t>Forecast confidence</w:t>
            </w:r>
          </w:p>
        </w:tc>
        <w:tc>
          <w:tcPr>
            <w:tcW w:type="dxa" w:w="4320"/>
            <w:vAlign w:val="center"/>
          </w:tcPr>
          <w:p>
            <w:r/>
            <w:r>
              <w:rPr>
                <w:b w:val="0"/>
                <w:sz w:val="17"/>
              </w:rPr>
              <w:t>Certainty</w:t>
            </w:r>
          </w:p>
        </w:tc>
        <w:tc>
          <w:tcPr>
            <w:tcW w:type="dxa" w:w="3888"/>
            <w:vAlign w:val="center"/>
          </w:tcPr>
          <w:p>
            <w:r/>
            <w:r>
              <w:rPr>
                <w:b w:val="0"/>
                <w:sz w:val="17"/>
              </w:rPr>
              <w:t>Low</w:t>
            </w:r>
          </w:p>
        </w:tc>
      </w:tr>
      <w:tr>
        <w:tc>
          <w:tcPr>
            <w:tcW w:type="dxa" w:w="2448"/>
            <w:vAlign w:val="center"/>
          </w:tcPr>
          <w:p>
            <w:r/>
            <w:r>
              <w:rPr>
                <w:b w:val="0"/>
                <w:sz w:val="17"/>
              </w:rPr>
              <w:t>Commercial status</w:t>
            </w:r>
          </w:p>
        </w:tc>
        <w:tc>
          <w:tcPr>
            <w:tcW w:type="dxa" w:w="4320"/>
            <w:vAlign w:val="center"/>
          </w:tcPr>
          <w:p>
            <w:r/>
            <w:r>
              <w:rPr>
                <w:b w:val="0"/>
                <w:sz w:val="17"/>
              </w:rPr>
              <w:t>What Sales can say</w:t>
            </w:r>
          </w:p>
        </w:tc>
        <w:tc>
          <w:tcPr>
            <w:tcW w:type="dxa" w:w="3888"/>
            <w:vAlign w:val="center"/>
          </w:tcPr>
          <w:p>
            <w:r/>
            <w:r>
              <w:rPr>
                <w:b w:val="0"/>
                <w:sz w:val="17"/>
              </w:rPr>
              <w:t>Planned — no date promise</w:t>
            </w:r>
          </w:p>
        </w:tc>
      </w:tr>
      <w:tr>
        <w:tc>
          <w:tcPr>
            <w:tcW w:type="dxa" w:w="2448"/>
            <w:vAlign w:val="center"/>
          </w:tcPr>
          <w:p>
            <w:r/>
            <w:r>
              <w:rPr>
                <w:b w:val="0"/>
                <w:sz w:val="17"/>
              </w:rPr>
              <w:t>Delivery link</w:t>
            </w:r>
          </w:p>
        </w:tc>
        <w:tc>
          <w:tcPr>
            <w:tcW w:type="dxa" w:w="4320"/>
            <w:vAlign w:val="center"/>
          </w:tcPr>
          <w:p>
            <w:r/>
            <w:r>
              <w:rPr>
                <w:b w:val="0"/>
                <w:sz w:val="17"/>
              </w:rPr>
              <w:t>Execution traceability</w:t>
            </w:r>
          </w:p>
        </w:tc>
        <w:tc>
          <w:tcPr>
            <w:tcW w:type="dxa" w:w="3888"/>
            <w:vAlign w:val="center"/>
          </w:tcPr>
          <w:p>
            <w:r/>
            <w:r>
              <w:rPr>
                <w:b w:val="0"/>
                <w:sz w:val="17"/>
              </w:rPr>
              <w:t>Jira epic / plan</w:t>
            </w:r>
          </w:p>
        </w:tc>
      </w:tr>
    </w:tbl>
    <w:p/>
    <w:p>
      <w:pPr>
        <w:pStyle w:val="Heading1"/>
      </w:pPr>
      <w:r>
        <w:t>15. 30-day implementation plan</w:t>
      </w:r>
    </w:p>
    <w:p>
      <w:pPr>
        <w:pStyle w:val="ListNumber"/>
      </w:pPr>
      <w:r>
        <w:t>Week 1 — Agree definitions: Roadmap Quarter, Artefact Ready, Forecast, Committed and customer-communicable.</w:t>
      </w:r>
    </w:p>
    <w:p>
      <w:pPr>
        <w:pStyle w:val="ListNumber"/>
      </w:pPr>
      <w:r>
        <w:t>Week 1 — Confirm the minimum Definition of Committed with CTO/Engineering.</w:t>
      </w:r>
    </w:p>
    <w:p>
      <w:pPr>
        <w:pStyle w:val="ListNumber"/>
      </w:pPr>
      <w:r>
        <w:t>Week 2 — Add/normalize commitment, forecast confidence and commercial communication fields in JPD (or linked Jira plan).</w:t>
      </w:r>
    </w:p>
    <w:p>
      <w:pPr>
        <w:pStyle w:val="ListNumber"/>
      </w:pPr>
      <w:r>
        <w:t>Week 2 — Build three curated views: CEO, CTO and Sales.</w:t>
      </w:r>
    </w:p>
    <w:p>
      <w:pPr>
        <w:pStyle w:val="ListNumber"/>
      </w:pPr>
      <w:r>
        <w:t>Week 3 — Pilot on the top 10–15 roadmap initiatives; identify where the current quarter is being mistaken for delivery date.</w:t>
      </w:r>
    </w:p>
    <w:p>
      <w:pPr>
        <w:pStyle w:val="ListNumber"/>
      </w:pPr>
      <w:r>
        <w:t>Week 3 — Create approved Sales language for each commercial status.</w:t>
      </w:r>
    </w:p>
    <w:p>
      <w:pPr>
        <w:pStyle w:val="ListNumber"/>
      </w:pPr>
      <w:r>
        <w:t>Week 4 — Run the first Product &amp; Delivery Outlook; record decisions and forecast changes.</w:t>
      </w:r>
    </w:p>
    <w:p>
      <w:pPr>
        <w:pStyle w:val="ListNumber"/>
      </w:pPr>
      <w:r>
        <w:t>End of month — Review whether stakeholders can now answer “why?”, “how mature?”, “when?” and “what may I promise?” without interpretation disputes.</w:t>
      </w:r>
    </w:p>
    <w:p>
      <w:pPr>
        <w:pStyle w:val="Heading1"/>
      </w:pPr>
      <w:r>
        <w:t>16. Recommended executive decision</w:t>
      </w:r>
    </w:p>
    <w:tbl>
      <w:tblPr>
        <w:tblW w:type="auto" w:w="0"/>
        <w:tblLook w:firstColumn="1" w:firstRow="1" w:lastColumn="0" w:lastRow="0" w:noHBand="0" w:noVBand="1" w:val="04A0"/>
      </w:tblPr>
      <w:tblGrid>
        <w:gridCol w:w="10166"/>
      </w:tblGrid>
      <w:tr>
        <w:tc>
          <w:tcPr>
            <w:tcW w:type="dxa" w:w="10166"/>
            <w:shd w:fill="123047"/>
            <w:vAlign w:val="center"/>
          </w:tcPr>
          <w:p>
            <w:r/>
            <w:r>
              <w:rPr>
                <w:b/>
                <w:color w:val="FFFFFF"/>
                <w:sz w:val="22"/>
              </w:rPr>
              <w:t>Adopt JPD as the single source of truth for product direction and discovery maturity; explicitly separate roadmap target quarter from delivery forecast and customer commitment; define Artefact Ready as the readiness gate and Committed as a joint Product + Engineering capacity-backed decision; publish tailored CEO, CTO and Sales views from the same underlying data.</w:t>
            </w:r>
          </w:p>
        </w:tc>
      </w:tr>
    </w:tbl>
    <w:p>
      <w:pPr>
        <w:pStyle w:val="Heading1"/>
      </w:pPr>
      <w:r>
        <w:t>Independent SaaS-platform cross-check</w:t>
      </w:r>
    </w:p>
    <w:p>
      <w:r>
        <w:t>To reduce vendor or methodology bias, the core framework was re-checked against additional SaaS product-management platforms beyond the original Atlassian / Productboard / Aha! set. The result is strong convergence on the major principles, with one important caveat: there is no single mandatory roadmap format, and organizations must define explicitly how roadmap timing relates to delivery commitment.</w:t>
      </w:r>
    </w:p>
    <w:tbl>
      <w:tblPr>
        <w:tblStyle w:val="TableGrid"/>
        <w:tblW w:type="auto" w:w="0"/>
        <w:tblLook w:firstColumn="1" w:firstRow="1" w:lastColumn="0" w:lastRow="0" w:noHBand="0" w:noVBand="1" w:val="04A0"/>
      </w:tblPr>
      <w:tblGrid>
        <w:gridCol w:w="2880"/>
        <w:gridCol w:w="2880"/>
        <w:gridCol w:w="2880"/>
      </w:tblGrid>
      <w:tr>
        <w:tc>
          <w:tcPr>
            <w:tcW w:type="dxa" w:w="2880"/>
          </w:tcPr>
          <w:p>
            <w:r>
              <w:t>Cross-checked principle</w:t>
            </w:r>
          </w:p>
        </w:tc>
        <w:tc>
          <w:tcPr>
            <w:tcW w:type="dxa" w:w="2880"/>
          </w:tcPr>
          <w:p>
            <w:r>
              <w:t>Additional evidence</w:t>
            </w:r>
          </w:p>
        </w:tc>
        <w:tc>
          <w:tcPr>
            <w:tcW w:type="dxa" w:w="2880"/>
          </w:tcPr>
          <w:p>
            <w:r>
              <w:t>Implication for our model</w:t>
            </w:r>
          </w:p>
        </w:tc>
      </w:tr>
      <w:tr>
        <w:tc>
          <w:tcPr>
            <w:tcW w:type="dxa" w:w="2880"/>
          </w:tcPr>
          <w:p>
            <w:r>
              <w:t>Roadmap and release/delivery plan are distinct artifacts</w:t>
            </w:r>
          </w:p>
        </w:tc>
        <w:tc>
          <w:tcPr>
            <w:tcW w:type="dxa" w:w="2880"/>
          </w:tcPr>
          <w:p>
            <w:r>
              <w:t>ProductPlan says the roadmap communicates high-level product strategy while the release plan is tactical and tracks features for upcoming releases. Productboard describes the release plan as the execution-level plan for delivering decided work and its timeframe.¹⁹ ¹⁴</w:t>
            </w:r>
          </w:p>
        </w:tc>
        <w:tc>
          <w:tcPr>
            <w:tcW w:type="dxa" w:w="2880"/>
          </w:tcPr>
          <w:p>
            <w:r>
              <w:t>Keep the quarterly JPD roadmap, but provide a separate delivery/release forecast for mature work.</w:t>
            </w:r>
          </w:p>
        </w:tc>
      </w:tr>
      <w:tr>
        <w:tc>
          <w:tcPr>
            <w:tcW w:type="dxa" w:w="2880"/>
          </w:tcPr>
          <w:p>
            <w:r>
              <w:t>Uncertain work can legitimately exist in the roadmap</w:t>
            </w:r>
          </w:p>
        </w:tc>
        <w:tc>
          <w:tcPr>
            <w:tcW w:type="dxa" w:w="2880"/>
          </w:tcPr>
          <w:p>
            <w:r>
              <w:t>Atlassian states that JPD is where “maybe” / uncommitted work lives and Jira is where definite / committed work happens. Its workflow explicitly moves Parking lot → Discovery → Ready for delivery → Delivery.¹⁷ ¹⁸</w:t>
            </w:r>
          </w:p>
        </w:tc>
        <w:tc>
          <w:tcPr>
            <w:tcW w:type="dxa" w:w="2880"/>
          </w:tcPr>
          <w:p>
            <w:r>
              <w:t>The CTO is right that immature work cannot carry a reliable delivery commitment; that does not disqualify it from the roadmap.</w:t>
            </w:r>
          </w:p>
        </w:tc>
      </w:tr>
      <w:tr>
        <w:tc>
          <w:tcPr>
            <w:tcW w:type="dxa" w:w="2880"/>
          </w:tcPr>
          <w:p>
            <w:r>
              <w:t>Discovery should progressively reduce uncertainty</w:t>
            </w:r>
          </w:p>
        </w:tc>
        <w:tc>
          <w:tcPr>
            <w:tcW w:type="dxa" w:w="2880"/>
          </w:tcPr>
          <w:p>
            <w:r>
              <w:t>Atlassian describes JPD discovery as research, customer interviews, problem/solution validation and sometimes technical spikes before an idea becomes Ready for delivery. airfocus similarly places discovery on upcoming initiatives while later work remains less defined.¹⁷ ²¹</w:t>
            </w:r>
          </w:p>
        </w:tc>
        <w:tc>
          <w:tcPr>
            <w:tcW w:type="dxa" w:w="2880"/>
          </w:tcPr>
          <w:p>
            <w:r>
              <w:t>Your Discovery Maturity + Artefact Ready field is consistent with the model; use it to communicate readiness rather than as a roadmap-entry gate.</w:t>
            </w:r>
          </w:p>
        </w:tc>
      </w:tr>
      <w:tr>
        <w:tc>
          <w:tcPr>
            <w:tcW w:type="dxa" w:w="2880"/>
          </w:tcPr>
          <w:p>
            <w:r>
              <w:t>Roadmap timing should usually be broader than delivery timing</w:t>
            </w:r>
          </w:p>
        </w:tc>
        <w:tc>
          <w:tcPr>
            <w:tcW w:type="dxa" w:w="2880"/>
          </w:tcPr>
          <w:p>
            <w:r>
              <w:t>Atlassian JPD supports timeline roadmaps using months or quarters and calls them rough delivery estimates. Productboard recommends broad timeframes on roadmaps and more granular timeframes on release plans. ProductPlan recommends general roadmap timeframes and specific dates primarily in release/project planning.²⁰ ¹⁴ ²²</w:t>
            </w:r>
          </w:p>
        </w:tc>
        <w:tc>
          <w:tcPr>
            <w:tcW w:type="dxa" w:w="2880"/>
          </w:tcPr>
          <w:p>
            <w:r>
              <w:t>Quarterly JPD sequencing is a legitimate roadmap format. Add confidence/commitment semantics so a quarter is not mistaken for a guaranteed date.</w:t>
            </w:r>
          </w:p>
        </w:tc>
      </w:tr>
      <w:tr>
        <w:tc>
          <w:tcPr>
            <w:tcW w:type="dxa" w:w="2880"/>
          </w:tcPr>
          <w:p>
            <w:r>
              <w:t>Different stakeholders need different views of one source of truth</w:t>
            </w:r>
          </w:p>
        </w:tc>
        <w:tc>
          <w:tcPr>
            <w:tcW w:type="dxa" w:w="2880"/>
          </w:tcPr>
          <w:p>
            <w:r>
              <w:t>Atlassian supports custom JPD views for leadership and other audiences. airfocus explicitly recommends strategic views for executives, delivery views for engineering, launch views for marketing, and Now/Next/Later for customers from one product source of truth. Pendo likewise supports private/team roadmaps and audience-controlled communication.¹⁸ ²³ ²⁴</w:t>
            </w:r>
          </w:p>
        </w:tc>
        <w:tc>
          <w:tcPr>
            <w:tcW w:type="dxa" w:w="2880"/>
          </w:tcPr>
          <w:p>
            <w:r>
              <w:t>Do not force CEO, CTO and Sales to consume one identical view. Keep one underlying dataset and tailor the presentation.</w:t>
            </w:r>
          </w:p>
        </w:tc>
      </w:tr>
      <w:tr>
        <w:tc>
          <w:tcPr>
            <w:tcW w:type="dxa" w:w="2880"/>
          </w:tcPr>
          <w:p>
            <w:r>
              <w:t>Roadmaps should retain strategic context, not become feature/date lists</w:t>
            </w:r>
          </w:p>
        </w:tc>
        <w:tc>
          <w:tcPr>
            <w:tcW w:type="dxa" w:w="2880"/>
          </w:tcPr>
          <w:p>
            <w:r>
              <w:t>airfocus emphasizes vision, goals, outcomes, problems and context. Pendo emphasizes the “why” and the ability to adjust as feedback validates ideas. Miro describes the roadmap as strategic and explicitly distinguishes it from a detailed project plan.²¹ ²⁴ ²⁵</w:t>
            </w:r>
          </w:p>
        </w:tc>
        <w:tc>
          <w:tcPr>
            <w:tcW w:type="dxa" w:w="2880"/>
          </w:tcPr>
          <w:p>
            <w:r>
              <w:t>Preserve Goals → Themes → Solutions/Bets and ideally make problem/outcome linkage visible. Do not let delivery dates become the dominant roadmap information.</w:t>
            </w:r>
          </w:p>
        </w:tc>
      </w:tr>
    </w:tbl>
    <w:p>
      <w:pPr>
        <w:pStyle w:val="Heading2"/>
      </w:pPr>
      <w:r>
        <w:t>What the audit changes — and what it does not</w:t>
      </w:r>
    </w:p>
    <w:p>
      <w:r>
        <w:t>The audit confirms the central recommendation: your JPD can function as a roadmap even when future items have not completed discovery. It also confirms that CEO and Sales are justified in asking for a more precise answer to “when will it ship?” — but that answer should come from a delivery/release forecast whose precision increases with maturity, not from treating every roadmap quarter as a guaranteed date.</w:t>
      </w:r>
    </w:p>
    <w:p>
      <w:r>
        <w:t>One wording has been deliberately tightened: avoid the absolute statement “a roadmap is not a commitment.” A better, evidence-based statement is: “A roadmap communicates strategic intent and sequencing; selected items may become commitments when explicitly labelled and supported by sufficient discovery, feasibility, dependencies and capacity. A quarter label alone is not a commitment.”</w:t>
      </w:r>
    </w:p>
    <w:p>
      <w:r>
        <w:t>Overall confidence after cross-check: HIGH for the distinction between roadmap and release/delivery planning; HIGH for allowing discovery-stage work in JPD roadmaps; HIGH for audience-specific roadmap views; MEDIUM-HIGH for any single prescribed status taxonomy (for example Vision / Planned / Forecast / Committed), because that taxonomy is a recommended governance design rather than an industry standard.</w:t>
      </w:r>
    </w:p>
    <w:p>
      <w:pPr>
        <w:pStyle w:val="Heading1"/>
      </w:pPr>
      <w:r>
        <w:t>References</w:t>
      </w:r>
    </w:p>
    <w:p/>
    <w:p>
      <w:r>
        <w:t>Primary product-management sources supporting the definitions and governance recommendations in this playbook:</w:t>
      </w:r>
    </w:p>
    <w:p/>
    <w:p>
      <w:r>
        <w:t>Atlassian — Product Roadmap Guide: What is it &amp; How to Create One. https://www.atlassian.com/agile/product-management/product-roadmaps</w:t>
      </w:r>
    </w:p>
    <w:p/>
    <w:p>
      <w:r>
        <w:t>Atlassian — Agile roadmaps: Build, share, use, and evolve. https://www.atlassian.com/agile/product-management/roadmaps</w:t>
      </w:r>
    </w:p>
    <w:p/>
    <w:p>
      <w:r>
        <w:t>Productboard — Product Roadmap Guide. https://www.productboard.com/product-roadmap-guide/</w:t>
      </w:r>
    </w:p>
    <w:p/>
    <w:p>
      <w:r>
        <w:t>Productboard — Roadmap vs. release plan: What’s the difference?. https://www.productboard.com/blog/roadmap-vs-release-plan-whats-the-difference/</w:t>
      </w:r>
    </w:p>
    <w:p/>
    <w:p>
      <w:r>
        <w:t>Aha! — How to create a product roadmap. https://www.aha.io/roadmapping/guide/product-roadmap</w:t>
      </w:r>
    </w:p>
    <w:p/>
    <w:p>
      <w:r>
        <w:t>Aha! — Roadmapping best practices. https://www.aha.io/roadmapping/guide/roadmap/best-practices</w:t>
      </w:r>
    </w:p>
    <w:p>
      <w:r>
        <w:rPr>
          <w:b/>
        </w:rPr>
        <w:t>1. Atlassian — Jira Product Discovery: Getting started</w:t>
        <w:br/>
      </w:r>
      <w:r>
        <w:t>https://www.atlassian.com/software/jira/product-discovery/guides/getting-started/introduction</w:t>
      </w:r>
    </w:p>
    <w:p>
      <w:r>
        <w:rPr>
          <w:b/>
        </w:rPr>
        <w:t>2. Atlassian — Jira Product Discovery ideas overview</w:t>
        <w:br/>
      </w:r>
      <w:r>
        <w:t>https://www.atlassian.com/software/jira/product-discovery/guides/ideas/overview</w:t>
      </w:r>
    </w:p>
    <w:p>
      <w:r>
        <w:rPr>
          <w:b/>
        </w:rPr>
        <w:t>3. Atlassian — Jira Product Discovery delivery overview</w:t>
        <w:br/>
      </w:r>
      <w:r>
        <w:t>https://www.atlassian.com/software/jira/product-discovery/guides/delivery/overview</w:t>
      </w:r>
    </w:p>
    <w:p>
      <w:r>
        <w:rPr>
          <w:b/>
        </w:rPr>
        <w:t>4. Productboard — Roadmap vs. release plan: What’s the difference?</w:t>
        <w:br/>
      </w:r>
      <w:r>
        <w:t>https://www.productboard.com/blog/roadmap-vs-release-plan-whats-the-difference/</w:t>
      </w:r>
    </w:p>
    <w:p>
      <w:r>
        <w:rPr>
          <w:b/>
        </w:rPr>
        <w:t>5. Aha! — Release roadmap template / product vs release roadmap</w:t>
        <w:br/>
      </w:r>
      <w:r>
        <w:t>https://www.aha.io/roadmapping/guide/templates/create/release-roadmap</w:t>
      </w:r>
    </w:p>
    <w:p>
      <w:r>
        <w:rPr>
          <w:b/>
        </w:rPr>
        <w:t>6. Atlassian Community — Create and share roadmaps in Jira Product Discovery</w:t>
        <w:br/>
      </w:r>
      <w:r>
        <w:t>https://community.atlassian.com/learning/lesson/how-to-create-a-roadmap-in-jira-product-discovery</w:t>
      </w:r>
    </w:p>
    <w:p>
      <w:r>
        <w:rPr>
          <w:b/>
        </w:rPr>
        <w:t>7. Product Talk — Opportunity Solution Trees</w:t>
        <w:br/>
      </w:r>
      <w:r>
        <w:t>https://www.producttalk.org/2016/08/opportunity-solution-tree/</w:t>
      </w:r>
    </w:p>
    <w:p>
      <w:r>
        <w:rPr>
          <w:b/>
        </w:rPr>
        <w:t>8. Atlassian — JPD and Jira Plans</w:t>
        <w:br/>
      </w:r>
      <w:r>
        <w:t>https://support.atlassian.com/jira-product-discovery/docs/jira-product-discovery-and-jira-plans/</w:t>
      </w:r>
    </w:p>
    <w:p>
      <w:r>
        <w:rPr>
          <w:b/>
        </w:rPr>
        <w:t>9. Aha! — Roadmapping best practices (updated September 2026)</w:t>
        <w:br/>
      </w:r>
      <w:r>
        <w:t>https://www.aha.io/roadmapping/guide/roadmap/best-practices</w:t>
      </w:r>
    </w:p>
    <w:p>
      <w:r>
        <w:t>10. Atlassian — Product Roadmap Guide: What is it &amp; How to Create One</w:t>
        <w:br/>
        <w:t>https://www.atlassian.com/agile/product-management/product-roadmaps</w:t>
      </w:r>
    </w:p>
    <w:p>
      <w:r>
        <w:t>11. Productboard — Product Roadmap Guide</w:t>
        <w:br/>
        <w:t>https://www.productboard.com/product-roadmap-guide/</w:t>
      </w:r>
    </w:p>
    <w:p>
      <w:r>
        <w:t>12. Aha! — How to create a product roadmap (updated July 2026)</w:t>
        <w:br/>
        <w:t>https://www.aha.io/roadmapping/guide/product-roadmap</w:t>
      </w:r>
    </w:p>
    <w:p>
      <w:r>
        <w:t>13. Atlassian — Agile roadmaps: Build, share, use, and evolve</w:t>
        <w:br/>
        <w:t>https://www.atlassian.com/agile/product-management/roadmaps</w:t>
      </w:r>
    </w:p>
    <w:p>
      <w:r>
        <w:t>14. Productboard — Roadmap vs. release plan: What’s the difference?</w:t>
        <w:br/>
        <w:t>https://www.productboard.com/blog/roadmap-vs-release-plan-whats-the-difference/</w:t>
      </w:r>
    </w:p>
    <w:p>
      <w:r>
        <w:t>15. Aha! — What should a product roadmap include? (updated September 2026)</w:t>
        <w:br/>
        <w:t>https://www.aha.io/roadmapping/guide/product-roadmap/what-is-included-product-roadmap</w:t>
      </w:r>
    </w:p>
    <w:p>
      <w:r>
        <w:t>16. Aha! — How to build a roadmap for a new product (updated September 2026)</w:t>
        <w:br/>
        <w:t>https://www.aha.io/roadmapping/guide/product-roadmap/new-product-roadmap</w:t>
      </w:r>
    </w:p>
    <w:p>
      <w:r>
        <w:t>Note: External sources are used to ground the operating principles. The proposed governance model and status definitions are recommendations tailored to the SaaS/JPD context described and should be adapted to your organization’s commercial and engineering processes.</w:t>
      </w:r>
    </w:p>
    <w:p>
      <w:r>
        <w:rPr>
          <w:b/>
        </w:rPr>
        <w:t>17. Atlassian — Jira Product Discovery delivery overview</w:t>
      </w:r>
    </w:p>
    <w:p>
      <w:r>
        <w:t>https://www.atlassian.com/software/jira/product-discovery/guides/delivery/overview</w:t>
      </w:r>
    </w:p>
    <w:p>
      <w:r>
        <w:rPr>
          <w:b/>
        </w:rPr>
        <w:t>18. Atlassian — Jira Product Discovery integrations overview</w:t>
      </w:r>
    </w:p>
    <w:p>
      <w:r>
        <w:t>https://www.atlassian.com/software/jira/product-discovery/guides/integrations/overview</w:t>
      </w:r>
    </w:p>
    <w:p>
      <w:r>
        <w:rPr>
          <w:b/>
        </w:rPr>
        <w:t>19. ProductPlan — Product Roadmap vs. Release Plan</w:t>
      </w:r>
    </w:p>
    <w:p>
      <w:r>
        <w:t>https://www.productplan.com/learn/product-roadmap-vs-release-plan</w:t>
      </w:r>
    </w:p>
    <w:p>
      <w:r>
        <w:rPr>
          <w:b/>
        </w:rPr>
        <w:t>20. Atlassian — 8 steps to get started with Jira Product Discovery</w:t>
      </w:r>
    </w:p>
    <w:p>
      <w:r>
        <w:t>https://www.atlassian.com/software/jira/product-discovery/guides/getting-started/quick-start</w:t>
      </w:r>
    </w:p>
    <w:p>
      <w:r>
        <w:rPr>
          <w:b/>
        </w:rPr>
        <w:t>21. airfocus — How to create a SaaS product roadmap</w:t>
      </w:r>
    </w:p>
    <w:p>
      <w:r>
        <w:t>https://airfocus.com/blog/how-to-create-saas-product-roadmap/</w:t>
      </w:r>
    </w:p>
    <w:p>
      <w:r>
        <w:rPr>
          <w:b/>
        </w:rPr>
        <w:t>22. ProductPlan — Roadmap Timelines: Do You Need Them? When?</w:t>
      </w:r>
    </w:p>
    <w:p>
      <w:r>
        <w:t>https://www.productplan.com/learn/roadmap-timelines</w:t>
      </w:r>
    </w:p>
    <w:p>
      <w:r>
        <w:rPr>
          <w:b/>
        </w:rPr>
        <w:t>23. airfocus — Product Roadmap Software / tailored roadmap views</w:t>
      </w:r>
    </w:p>
    <w:p>
      <w:r>
        <w:t>https://airfocus.com/product/roadmaps/</w:t>
      </w:r>
    </w:p>
    <w:p>
      <w:r>
        <w:rPr>
          <w:b/>
        </w:rPr>
        <w:t>24. Pendo — Roadmaps: communicate your product priorities</w:t>
      </w:r>
    </w:p>
    <w:p>
      <w:r>
        <w:t>https://www.pendo.io/product/roadmap/</w:t>
      </w:r>
    </w:p>
    <w:p>
      <w:r>
        <w:rPr>
          <w:b/>
        </w:rPr>
        <w:t>25. Miro — Product roadmap: what it is, how to create it</w:t>
      </w:r>
    </w:p>
    <w:p>
      <w:r>
        <w:t>https://miro.com/product-development/what-is-a-product-roadmap/</w:t>
      </w:r>
    </w:p>
    <w:p>
      <w:r>
        <w:t>Cross-check note: vendor sources are not treated as independent academic evidence. The value of this audit is convergence across multiple established product-management platforms with different products and methodologies. Where sources differ — particularly on how much timing/commitment belongs on a roadmap — this playbook states the disagreement and recommends explicit internal semantics rather than claiming a universal rule.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Product Roadmap, Discovery &amp; Delivery — Executive Alignment Playbook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8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04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