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a8c21f960dc461a51c5f1c08faef69246762d7"/>
    <w:p>
      <w:pPr>
        <w:pStyle w:val="Heading1"/>
      </w:pPr>
      <w:r>
        <w:t xml:space="preserve">Relation d’équilibre entre les prix de gros de l’électricité (France, Allemagne) et le prix du gaz</w:t>
      </w:r>
    </w:p>
    <w:bookmarkStart w:id="9" w:name="projet-déconométrie-enm-2025-2026"/>
    <w:p>
      <w:pPr>
        <w:pStyle w:val="Heading3"/>
      </w:pPr>
      <w:r>
        <w:t xml:space="preserve">Projet d’économétrie — ENM 2025-2026</w:t>
      </w:r>
    </w:p>
    <w:p>
      <w:pPr>
        <w:pStyle w:val="FirstParagraph"/>
      </w:pPr>
      <w:r>
        <w:rPr>
          <w:i/>
          <w:iCs/>
        </w:rPr>
        <w:t xml:space="preserve">Groupe : [Nom 1], [Nom 2], [Nom 3]</w:t>
      </w:r>
      <w:r>
        <w:t xml:space="preserve"> </w:t>
      </w:r>
      <w:r>
        <w:rPr>
          <w:i/>
          <w:iCs/>
        </w:rPr>
        <w:t xml:space="preserve">Données quotidiennes 2015-2026 — Logiciel : R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-et-problématique"/>
    <w:p>
      <w:pPr>
        <w:pStyle w:val="Heading2"/>
      </w:pPr>
      <w:r>
        <w:t xml:space="preserve">1. Introduction et problématique</w:t>
      </w:r>
    </w:p>
    <w:p>
      <w:pPr>
        <w:pStyle w:val="FirstParagraph"/>
      </w:pPr>
      <w:r>
        <w:t xml:space="preserve">Sur les marchés de gros européens (day-ahead), le prix de l’électricité est, la plupart du temps,</w:t>
      </w:r>
      <w:r>
        <w:t xml:space="preserve"> </w:t>
      </w:r>
      <w:r>
        <w:t xml:space="preserve">fixé par la centrale marginale appelée pour équilibrer l’offre et la demande. En Europe continentale,</w:t>
      </w:r>
      <w:r>
        <w:t xml:space="preserve"> </w:t>
      </w:r>
      <w:r>
        <w:t xml:space="preserve">cette unité marginale est très fréquemment une centrale à gaz : le</w:t>
      </w:r>
      <w:r>
        <w:t xml:space="preserve"> </w:t>
      </w:r>
      <w:r>
        <w:rPr>
          <w:b/>
          <w:bCs/>
        </w:rPr>
        <w:t xml:space="preserve">merit order</w:t>
      </w:r>
      <w:r>
        <w:t xml:space="preserve"> </w:t>
      </w:r>
      <w:r>
        <w:t xml:space="preserve">prédit donc une</w:t>
      </w:r>
      <w:r>
        <w:t xml:space="preserve"> </w:t>
      </w:r>
      <w:r>
        <w:t xml:space="preserve">relation directe entre le prix spot de l’électricité et le prix du gaz naturel. Par ailleurs, le</w:t>
      </w:r>
      <w:r>
        <w:t xml:space="preserve"> </w:t>
      </w:r>
      <w:r>
        <w:t xml:space="preserve">couplage des marchés (market coupling) et les interconnexions transfrontalières lient étroitement les</w:t>
      </w:r>
      <w:r>
        <w:t xml:space="preserve"> </w:t>
      </w:r>
      <w:r>
        <w:t xml:space="preserve">prix français et allemand.</w:t>
      </w:r>
    </w:p>
    <w:p>
      <w:pPr>
        <w:pStyle w:val="BodyText"/>
      </w:pPr>
      <w:r>
        <w:t xml:space="preserve">Ce travail teste empiriquement ces deux mécanismes à l’aide des méthodes de séries temporelles</w:t>
      </w:r>
      <w:r>
        <w:t xml:space="preserve"> </w:t>
      </w:r>
      <w:r>
        <w:t xml:space="preserve">non stationnaires (racine unitaire, cointégration, modèle à correction d’erreur). Trois questions</w:t>
      </w:r>
      <w:r>
        <w:t xml:space="preserve"> </w:t>
      </w:r>
      <w:r>
        <w:t xml:space="preserve">structurent l’analyse :</w:t>
      </w:r>
    </w:p>
    <w:p>
      <w:pPr>
        <w:pStyle w:val="Compact"/>
        <w:numPr>
          <w:ilvl w:val="0"/>
          <w:numId w:val="1001"/>
        </w:numPr>
      </w:pPr>
      <w:r>
        <w:t xml:space="preserve">Existe-t-il une relation d’équilibre de long terme entre les trois prix (élec. FR, élec. DE, gaz) ?</w:t>
      </w:r>
    </w:p>
    <w:p>
      <w:pPr>
        <w:pStyle w:val="Compact"/>
        <w:numPr>
          <w:ilvl w:val="0"/>
          <w:numId w:val="1001"/>
        </w:numPr>
      </w:pPr>
      <w:r>
        <w:t xml:space="preserve">Existe-t-il une relation d’équilibre entre les marchés français et allemand de l’électricité ?</w:t>
      </w:r>
    </w:p>
    <w:p>
      <w:pPr>
        <w:pStyle w:val="Compact"/>
        <w:numPr>
          <w:ilvl w:val="0"/>
          <w:numId w:val="1001"/>
        </w:numPr>
      </w:pPr>
      <w:r>
        <w:t xml:space="preserve">Quelle est la dynamique des prix (vitesse d’ajustement, causalité, propagation des chocs) ?</w:t>
      </w:r>
    </w:p>
    <w:bookmarkEnd w:id="10"/>
    <w:bookmarkStart w:id="17" w:name="données-et-construction-de-léchantillon"/>
    <w:p>
      <w:pPr>
        <w:pStyle w:val="Heading2"/>
      </w:pPr>
      <w:r>
        <w:t xml:space="preserve">2. Données et construction de l’échantillon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Fréquence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élec. France, day-ahead</w:t>
            </w:r>
          </w:p>
        </w:tc>
        <w:tc>
          <w:tcPr/>
          <w:p>
            <w:pPr>
              <w:pStyle w:val="Compact"/>
            </w:pPr>
            <w:r>
              <w:t xml:space="preserve">European wholesale electricity price</w:t>
            </w:r>
          </w:p>
        </w:tc>
        <w:tc>
          <w:tcPr/>
          <w:p>
            <w:pPr>
              <w:pStyle w:val="Compact"/>
            </w:pPr>
            <w:r>
              <w:t xml:space="preserve">EUR/MWh</w:t>
            </w:r>
          </w:p>
        </w:tc>
        <w:tc>
          <w:tcPr/>
          <w:p>
            <w:pPr>
              <w:pStyle w:val="Compact"/>
            </w:pPr>
            <w:r>
              <w:t xml:space="preserve">quotidienne, 7j/7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élec. Allemagne, day-ahead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EUR/MWh</w:t>
            </w:r>
          </w:p>
        </w:tc>
        <w:tc>
          <w:tcPr/>
          <w:p>
            <w:pPr>
              <w:pStyle w:val="Compact"/>
            </w:pPr>
            <w:r>
              <w:t xml:space="preserve">quotidienne, 7j/7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gaz</w:t>
            </w:r>
            <w:r>
              <w:t xml:space="preserve"> </w:t>
            </w:r>
            <w:r>
              <w:rPr>
                <w:b/>
                <w:bCs/>
              </w:rPr>
              <w:t xml:space="preserve">TTF</w:t>
            </w:r>
            <w:r>
              <w:t xml:space="preserve"> </w:t>
            </w:r>
            <w:r>
              <w:t xml:space="preserve">day-ahead (London close)</w:t>
            </w:r>
          </w:p>
        </w:tc>
        <w:tc>
          <w:tcPr/>
          <w:p>
            <w:pPr>
              <w:pStyle w:val="Compact"/>
            </w:pPr>
            <w:r>
              <w:t xml:space="preserve">Gas_price_2015-2026</w:t>
            </w:r>
          </w:p>
        </w:tc>
        <w:tc>
          <w:tcPr/>
          <w:p>
            <w:pPr>
              <w:pStyle w:val="Compact"/>
            </w:pPr>
            <w:r>
              <w:t xml:space="preserve">EUR/MWh</w:t>
            </w:r>
          </w:p>
        </w:tc>
        <w:tc>
          <w:tcPr/>
          <w:p>
            <w:pPr>
              <w:pStyle w:val="Compact"/>
            </w:pPr>
            <w:r>
              <w:t xml:space="preserve">jours ouvrés</w:t>
            </w:r>
          </w:p>
        </w:tc>
      </w:tr>
    </w:tbl>
    <w:p>
      <w:pPr>
        <w:pStyle w:val="BodyText"/>
      </w:pPr>
      <w:r>
        <w:t xml:space="preserve">Le prix du gaz n’étant coté que les jours ouvrés (ni week-ends, ni fériés), alors que l’électricité</w:t>
      </w:r>
      <w:r>
        <w:t xml:space="preserve"> </w:t>
      </w:r>
      <w:r>
        <w:t xml:space="preserve">cote tous les jours,</w:t>
      </w:r>
      <w:r>
        <w:t xml:space="preserve"> </w:t>
      </w:r>
      <w:r>
        <w:rPr>
          <w:b/>
          <w:bCs/>
        </w:rPr>
        <w:t xml:space="preserve">l’échantillon commun</w:t>
      </w:r>
      <w:r>
        <w:t xml:space="preserve"> </w:t>
      </w:r>
      <w:r>
        <w:t xml:space="preserve">est obtenu par jointure interne sur les dates de</w:t>
      </w:r>
      <w:r>
        <w:t xml:space="preserve"> </w:t>
      </w:r>
      <w:r>
        <w:t xml:space="preserve">cotation communes. Il comprend</w:t>
      </w:r>
      <w:r>
        <w:t xml:space="preserve"> </w:t>
      </w:r>
      <w:r>
        <w:rPr>
          <w:b/>
          <w:bCs/>
        </w:rPr>
        <w:t xml:space="preserve">2 826 observations quotidiennes du 2 janvier 2015 au 6 mars 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Transformation logarithmique.</w:t>
      </w:r>
      <w:r>
        <w:t xml:space="preserve"> </w:t>
      </w:r>
      <w:r>
        <w:t xml:space="preserve">Toutes les séries sont passées en logarithme : (i) cela stabilise</w:t>
      </w:r>
      <w:r>
        <w:t xml:space="preserve"> </w:t>
      </w:r>
      <w:r>
        <w:t xml:space="preserve">la variance, considérable du fait de la crise énergétique ; (ii) les coefficients de long terme</w:t>
      </w:r>
      <w:r>
        <w:t xml:space="preserve"> </w:t>
      </w:r>
      <w:r>
        <w:t xml:space="preserve">s’interprètent alors comme des</w:t>
      </w:r>
      <w:r>
        <w:t xml:space="preserve"> </w:t>
      </w:r>
      <w:r>
        <w:rPr>
          <w:b/>
          <w:bCs/>
        </w:rPr>
        <w:t xml:space="preserve">élasticités</w:t>
      </w:r>
      <w:r>
        <w:t xml:space="preserve">. Une unique cotation négative (Allemagne, −10,7 EUR/MWh,</w:t>
      </w:r>
      <w:r>
        <w:t xml:space="preserve"> </w:t>
      </w:r>
      <w:r>
        <w:t xml:space="preserve">surplus d’électricité renouvelable) a été ramenée à un faible seuil positif (0,5) pour autoriser le</w:t>
      </w:r>
      <w:r>
        <w:t xml:space="preserve"> </w:t>
      </w:r>
      <w:r>
        <w:t xml:space="preserve">passage au log — impact nul sur 2 826 observations.</w:t>
      </w:r>
    </w:p>
    <w:p>
      <w:pPr>
        <w:pStyle w:val="BodyText"/>
      </w:pPr>
      <w:r>
        <w:rPr>
          <w:b/>
          <w:bCs/>
        </w:rPr>
        <w:t xml:space="preserve">Statistiques descriptives.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Écart-type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Médiane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Élec. FR</w:t>
            </w:r>
          </w:p>
        </w:tc>
        <w:tc>
          <w:tcPr/>
          <w:p>
            <w:pPr>
              <w:pStyle w:val="Compact"/>
            </w:pPr>
            <w:r>
              <w:t xml:space="preserve">83,2</w:t>
            </w:r>
          </w:p>
        </w:tc>
        <w:tc>
          <w:tcPr/>
          <w:p>
            <w:pPr>
              <w:pStyle w:val="Compact"/>
            </w:pPr>
            <w:r>
              <w:t xml:space="preserve">88,3</w:t>
            </w:r>
          </w:p>
        </w:tc>
        <w:tc>
          <w:tcPr/>
          <w:p>
            <w:pPr>
              <w:pStyle w:val="Compac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52,7</w:t>
            </w:r>
          </w:p>
        </w:tc>
        <w:tc>
          <w:tcPr/>
          <w:p>
            <w:pPr>
              <w:pStyle w:val="Compact"/>
            </w:pPr>
            <w:r>
              <w:t xml:space="preserve">740,1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Élec. DE</w:t>
            </w:r>
          </w:p>
        </w:tc>
        <w:tc>
          <w:tcPr/>
          <w:p>
            <w:pPr>
              <w:pStyle w:val="Compact"/>
            </w:pPr>
            <w:r>
              <w:t xml:space="preserve">80,5</w:t>
            </w:r>
          </w:p>
        </w:tc>
        <w:tc>
          <w:tcPr/>
          <w:p>
            <w:pPr>
              <w:pStyle w:val="Compact"/>
            </w:pPr>
            <w:r>
              <w:t xml:space="preserve">79,1</w:t>
            </w:r>
          </w:p>
        </w:tc>
        <w:tc>
          <w:tcPr/>
          <w:p>
            <w:pPr>
              <w:pStyle w:val="Compact"/>
            </w:pPr>
            <w:r>
              <w:t xml:space="preserve">−10,7</w:t>
            </w:r>
          </w:p>
        </w:tc>
        <w:tc>
          <w:tcPr/>
          <w:p>
            <w:pPr>
              <w:pStyle w:val="Compact"/>
            </w:pPr>
            <w:r>
              <w:t xml:space="preserve">49,3</w:t>
            </w:r>
          </w:p>
        </w:tc>
        <w:tc>
          <w:tcPr/>
          <w:p>
            <w:pPr>
              <w:pStyle w:val="Compact"/>
            </w:pPr>
            <w:r>
              <w:t xml:space="preserve">695,3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 TTF</w:t>
            </w:r>
          </w:p>
        </w:tc>
        <w:tc>
          <w:tcPr/>
          <w:p>
            <w:pPr>
              <w:pStyle w:val="Compact"/>
            </w:pPr>
            <w:r>
              <w:t xml:space="preserve">34,3</w:t>
            </w:r>
          </w:p>
        </w:tc>
        <w:tc>
          <w:tcPr/>
          <w:p>
            <w:pPr>
              <w:pStyle w:val="Compact"/>
            </w:pPr>
            <w:r>
              <w:t xml:space="preserve">35,8</w:t>
            </w:r>
          </w:p>
        </w:tc>
        <w:tc>
          <w:tcPr/>
          <w:p>
            <w:pPr>
              <w:pStyle w:val="Compac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t xml:space="preserve">22,1</w:t>
            </w:r>
          </w:p>
        </w:tc>
        <w:tc>
          <w:tcPr/>
          <w:p>
            <w:pPr>
              <w:pStyle w:val="Compact"/>
            </w:pPr>
            <w:r>
              <w:t xml:space="preserve">308,0</w:t>
            </w:r>
          </w:p>
        </w:tc>
      </w:tr>
    </w:tbl>
    <w:p>
      <w:pPr>
        <w:pStyle w:val="BodyText"/>
      </w:pPr>
      <w:r>
        <w:t xml:space="preserve">Corrélations en log : FR–DE 0,86 ; DE–gaz 0,86 ; FR–gaz 0,82.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rix en niveaux" title="" id="12" name="Picture"/>
            <a:graphic>
              <a:graphicData uri="http://schemas.openxmlformats.org/drawingml/2006/picture">
                <pic:pic>
                  <pic:nvPicPr>
                    <pic:cNvPr descr="fig1_niveaux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Prix en niveaux</w:t>
      </w:r>
    </w:p>
    <w:p>
      <w:pPr>
        <w:pStyle w:val="BodyText"/>
      </w:pPr>
      <w:r>
        <w:t xml:space="preserve">La figure fait apparaître trois régimes : (i) 2015-2020, prix bas et stables ; (ii) creux du</w:t>
      </w:r>
      <w:r>
        <w:t xml:space="preserve"> </w:t>
      </w:r>
      <w:r>
        <w:t xml:space="preserve">1er confinement COVID (printemps 2020) ; (iii)</w:t>
      </w:r>
      <w:r>
        <w:t xml:space="preserve"> </w:t>
      </w:r>
      <w:r>
        <w:rPr>
          <w:b/>
          <w:bCs/>
        </w:rPr>
        <w:t xml:space="preserve">crise énergétique</w:t>
      </w:r>
      <w:r>
        <w:t xml:space="preserve"> </w:t>
      </w:r>
      <w:r>
        <w:t xml:space="preserve">mi-2021 à 2023, avec un pic</w:t>
      </w:r>
      <w:r>
        <w:t xml:space="preserve"> </w:t>
      </w:r>
      <w:r>
        <w:t xml:space="preserve">à 740 EUR/MWh fin 2022 (réduction des livraisons russes, puis guerre en Ukraine), suivie d’une</w:t>
      </w:r>
      <w:r>
        <w:t xml:space="preserve"> </w:t>
      </w:r>
      <w:r>
        <w:t xml:space="preserve">détente vers un « nouveau normal » plus élevé et plus volatil.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rix en logarithme" title="" id="15" name="Picture"/>
            <a:graphic>
              <a:graphicData uri="http://schemas.openxmlformats.org/drawingml/2006/picture">
                <pic:pic>
                  <pic:nvPicPr>
                    <pic:cNvPr descr="fig2_log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Prix en logarithme</w:t>
      </w:r>
    </w:p>
    <w:p>
      <w:pPr>
        <w:pStyle w:val="BodyText"/>
      </w:pPr>
      <w:r>
        <w:t xml:space="preserve">En logarithme, le co-mouvement des trois séries est frappant, ce qui motive l’analyse de cointégration.</w:t>
      </w:r>
    </w:p>
    <w:p>
      <w:pPr>
        <w:pStyle w:val="BodyText"/>
      </w:pPr>
      <w:r>
        <w:rPr>
          <w:b/>
          <w:bCs/>
        </w:rPr>
        <w:t xml:space="preserve">Choix de l’échantillon.</w:t>
      </w:r>
      <w:r>
        <w:t xml:space="preserve"> </w:t>
      </w:r>
      <w:r>
        <w:t xml:space="preserve">Conformément à l’énoncé, le choix de l’échantillon est discuté</w:t>
      </w:r>
      <w:r>
        <w:t xml:space="preserve"> </w:t>
      </w:r>
      <w:r>
        <w:t xml:space="preserve">(section 3). Nous retenons l’</w:t>
      </w:r>
      <w:r>
        <w:rPr>
          <w:b/>
          <w:bCs/>
        </w:rPr>
        <w:t xml:space="preserve">échantillon complet 2015-2026</w:t>
      </w:r>
      <w:r>
        <w:t xml:space="preserve">, en contrôlant les deux chocs</w:t>
      </w:r>
      <w:r>
        <w:t xml:space="preserve"> </w:t>
      </w:r>
      <w:r>
        <w:t xml:space="preserve">exogènes par des variables muettes :</w:t>
      </w:r>
      <w:r>
        <w:t xml:space="preserve"> </w:t>
      </w:r>
      <w:r>
        <w:rPr>
          <w:rStyle w:val="VerbatimChar"/>
        </w:rPr>
        <w:t xml:space="preserve">crise</w:t>
      </w:r>
      <w:r>
        <w:t xml:space="preserve"> </w:t>
      </w:r>
      <w:r>
        <w:t xml:space="preserve">(1 du 01/07/2021 au 30/06/2023) et</w:t>
      </w:r>
      <w:r>
        <w:t xml:space="preserve"> </w:t>
      </w:r>
      <w:r>
        <w:rPr>
          <w:rStyle w:val="VerbatimChar"/>
        </w:rPr>
        <w:t xml:space="preserve">covid</w:t>
      </w:r>
      <w:r>
        <w:t xml:space="preserve"> </w:t>
      </w:r>
      <w:r>
        <w:t xml:space="preserve">(1 de mars à mai 2020). Ce choix maximise l’information et conserve l’épisode économiquement le</w:t>
      </w:r>
      <w:r>
        <w:t xml:space="preserve"> </w:t>
      </w:r>
      <w:r>
        <w:t xml:space="preserve">plus instructif (la crise), au prix d’une discussion approfondie de l’ordre d’intégration.</w:t>
      </w:r>
    </w:p>
    <w:bookmarkEnd w:id="17"/>
    <w:bookmarkStart w:id="18" w:name="Xcfbcfada1a01ab657b8d9c977c7fa97ce7e6290"/>
    <w:p>
      <w:pPr>
        <w:pStyle w:val="Heading2"/>
      </w:pPr>
      <w:r>
        <w:t xml:space="preserve">3. Ordre d’intégration : tests de racine unitaire</w:t>
      </w:r>
    </w:p>
    <w:p>
      <w:pPr>
        <w:pStyle w:val="FirstParagraph"/>
      </w:pPr>
      <w:r>
        <w:t xml:space="preserve">Tests ADF (H0 : racine unitaire), KPSS (H0 : stationnarité), sur les niveaux (log) et les</w:t>
      </w:r>
      <w:r>
        <w:t xml:space="preserve"> </w:t>
      </w:r>
      <w:r>
        <w:t xml:space="preserve">différences premières. Seuil 5 %.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</w:t>
            </w:r>
          </w:p>
        </w:tc>
        <w:tc>
          <w:tcPr/>
          <w:p>
            <w:pPr>
              <w:pStyle w:val="Compact"/>
            </w:pPr>
            <w:r>
              <w:t xml:space="preserve">ADF niveau</w:t>
            </w:r>
          </w:p>
        </w:tc>
        <w:tc>
          <w:tcPr/>
          <w:p>
            <w:pPr>
              <w:pStyle w:val="Compact"/>
            </w:pPr>
            <w:r>
              <w:t xml:space="preserve">KPSS niveau</w:t>
            </w:r>
          </w:p>
        </w:tc>
        <w:tc>
          <w:tcPr/>
          <w:p>
            <w:pPr>
              <w:pStyle w:val="Compact"/>
            </w:pPr>
            <w:r>
              <w:t xml:space="preserve">ADF Δ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Gaz</w:t>
            </w:r>
          </w:p>
        </w:tc>
        <w:tc>
          <w:tcPr/>
          <w:p>
            <w:pPr>
              <w:pStyle w:val="Compact"/>
            </w:pPr>
            <w:r>
              <w:t xml:space="preserve">−2,18 (non rejet)</w:t>
            </w:r>
          </w:p>
        </w:tc>
        <w:tc>
          <w:tcPr/>
          <w:p>
            <w:pPr>
              <w:pStyle w:val="Compact"/>
            </w:pPr>
            <w:r>
              <w:t xml:space="preserve">10,1 (rejet)</w:t>
            </w:r>
          </w:p>
        </w:tc>
        <w:tc>
          <w:tcPr/>
          <w:p>
            <w:pPr>
              <w:pStyle w:val="Compact"/>
            </w:pPr>
            <w:r>
              <w:t xml:space="preserve">−43,0 (rejet)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I(1)</w:t>
            </w:r>
            <w:r>
              <w:t xml:space="preserve"> </w:t>
            </w: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Élec. FR</w:t>
            </w:r>
          </w:p>
        </w:tc>
        <w:tc>
          <w:tcPr/>
          <w:p>
            <w:pPr>
              <w:pStyle w:val="Compact"/>
            </w:pPr>
            <w:r>
              <w:t xml:space="preserve">−7,99 (rejet)</w:t>
            </w:r>
          </w:p>
        </w:tc>
        <w:tc>
          <w:tcPr/>
          <w:p>
            <w:pPr>
              <w:pStyle w:val="Compact"/>
            </w:pPr>
            <w:r>
              <w:t xml:space="preserve">6,90 (rejet)</w:t>
            </w:r>
          </w:p>
        </w:tc>
        <w:tc>
          <w:tcPr/>
          <w:p>
            <w:pPr>
              <w:pStyle w:val="Compact"/>
            </w:pPr>
            <w:r>
              <w:t xml:space="preserve">−49,2 (rejet)</w:t>
            </w:r>
          </w:p>
        </w:tc>
        <w:tc>
          <w:tcPr/>
          <w:p>
            <w:pPr>
              <w:pStyle w:val="Compact"/>
            </w:pPr>
            <w:r>
              <w:t xml:space="preserve">conflit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Élec. DE</w:t>
            </w:r>
          </w:p>
        </w:tc>
        <w:tc>
          <w:tcPr/>
          <w:p>
            <w:pPr>
              <w:pStyle w:val="Compact"/>
            </w:pPr>
            <w:r>
              <w:t xml:space="preserve">−8,96 (rejet)</w:t>
            </w:r>
          </w:p>
        </w:tc>
        <w:tc>
          <w:tcPr/>
          <w:p>
            <w:pPr>
              <w:pStyle w:val="Compact"/>
            </w:pPr>
            <w:r>
              <w:t xml:space="preserve">15,5 (rejet)</w:t>
            </w:r>
          </w:p>
        </w:tc>
        <w:tc>
          <w:tcPr/>
          <w:p>
            <w:pPr>
              <w:pStyle w:val="Compact"/>
            </w:pPr>
            <w:r>
              <w:t xml:space="preserve">−53,5 (rejet)</w:t>
            </w:r>
          </w:p>
        </w:tc>
        <w:tc>
          <w:tcPr/>
          <w:p>
            <w:pPr>
              <w:pStyle w:val="Compact"/>
            </w:pPr>
            <w:r>
              <w:t xml:space="preserve">conflit</w:t>
            </w:r>
          </w:p>
        </w:tc>
      </w:tr>
    </w:tbl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gaz est clairement I(1)</w:t>
      </w:r>
      <w:r>
        <w:t xml:space="preserve">. Pour l’électricité, ADF et KPSS se contredisent. Ce conflit,</w:t>
      </w:r>
      <w:r>
        <w:t xml:space="preserve"> </w:t>
      </w:r>
      <w:r>
        <w:rPr>
          <w:b/>
          <w:bCs/>
        </w:rPr>
        <w:t xml:space="preserve">persistant</w:t>
      </w:r>
      <w:r>
        <w:rPr>
          <w:b/>
          <w:bCs/>
        </w:rPr>
        <w:t xml:space="preserve"> </w:t>
      </w:r>
      <w:r>
        <w:rPr>
          <w:b/>
          <w:bCs/>
        </w:rPr>
        <w:t xml:space="preserve">sur tous les sous-échantillons</w:t>
      </w:r>
      <w:r>
        <w:t xml:space="preserve"> </w:t>
      </w:r>
      <w:r>
        <w:t xml:space="preserve">(pré- et post-crise), n’est pas un artefact de la crise : il reflète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nature physique des prix</w:t>
      </w:r>
      <w:r>
        <w:t xml:space="preserve">. L’électricité n’est pas stockable → son prix spot revient rapidement</w:t>
      </w:r>
      <w:r>
        <w:t xml:space="preserve"> </w:t>
      </w:r>
      <w:r>
        <w:t xml:space="preserve">vers le coût marginal (forte réversion à la moyenne haute fréquence, que l’ADF capte → rejet de la</w:t>
      </w:r>
      <w:r>
        <w:t xml:space="preserve"> </w:t>
      </w:r>
      <w:r>
        <w:t xml:space="preserve">racine unitaire). Mais une composante de basse fréquence persiste (héritée de la tendance du gaz, que</w:t>
      </w:r>
      <w:r>
        <w:t xml:space="preserve"> </w:t>
      </w:r>
      <w:r>
        <w:t xml:space="preserve">le KPSS détecte → rejet de la stationnarité). Le gaz, lui, est stockable et se comporte comme une</w:t>
      </w:r>
      <w:r>
        <w:t xml:space="preserve"> </w:t>
      </w:r>
      <w:r>
        <w:t xml:space="preserve">marche aléatoire.</w:t>
      </w:r>
    </w:p>
    <w:p>
      <w:pPr>
        <w:pStyle w:val="BodyText"/>
      </w:pPr>
      <w:r>
        <w:rPr>
          <w:b/>
          <w:bCs/>
        </w:rPr>
        <w:t xml:space="preserve">Test de Zivot-Andrews</w:t>
      </w:r>
      <w:r>
        <w:t xml:space="preserve"> </w:t>
      </w:r>
      <w:r>
        <w:t xml:space="preserve">(racine unitaire avec rupture endogène)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Série</w:t>
            </w:r>
          </w:p>
        </w:tc>
        <w:tc>
          <w:tcPr/>
          <w:p>
            <w:pPr>
              <w:pStyle w:val="Compact"/>
            </w:pPr>
            <w:r>
              <w:t xml:space="preserve">Statistique</w:t>
            </w:r>
          </w:p>
        </w:tc>
        <w:tc>
          <w:tcPr/>
          <w:p>
            <w:pPr>
              <w:pStyle w:val="Compact"/>
            </w:pPr>
            <w:r>
              <w:t xml:space="preserve">Valeur critique 5 %</w:t>
            </w:r>
          </w:p>
        </w:tc>
        <w:tc>
          <w:tcPr/>
          <w:p>
            <w:pPr>
              <w:pStyle w:val="Compact"/>
            </w:pPr>
            <w:r>
              <w:t xml:space="preserve">Rupture détectée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Élec. FR</w:t>
            </w:r>
          </w:p>
        </w:tc>
        <w:tc>
          <w:tcPr/>
          <w:p>
            <w:pPr>
              <w:pStyle w:val="Compact"/>
            </w:pPr>
            <w:r>
              <w:t xml:space="preserve">−10,82</w:t>
            </w:r>
          </w:p>
        </w:tc>
        <w:tc>
          <w:tcPr/>
          <w:p>
            <w:pPr>
              <w:pStyle w:val="Compact"/>
            </w:pPr>
            <w:r>
              <w:t xml:space="preserve">−5,08</w:t>
            </w:r>
          </w:p>
        </w:tc>
        <w:tc>
          <w:tcPr/>
          <w:p>
            <w:pPr>
              <w:pStyle w:val="Compact"/>
            </w:pPr>
            <w:r>
              <w:t xml:space="preserve">06/08/2021</w:t>
            </w:r>
          </w:p>
        </w:tc>
        <w:tc>
          <w:tcPr/>
          <w:p>
            <w:pPr>
              <w:pStyle w:val="Compact"/>
            </w:pPr>
            <w:r>
              <w:t xml:space="preserve">stationnaire autour d’une rupture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Élec. DE</w:t>
            </w:r>
          </w:p>
        </w:tc>
        <w:tc>
          <w:tcPr/>
          <w:p>
            <w:pPr>
              <w:pStyle w:val="Compact"/>
            </w:pPr>
            <w:r>
              <w:t xml:space="preserve">−13,52</w:t>
            </w:r>
          </w:p>
        </w:tc>
        <w:tc>
          <w:tcPr/>
          <w:p>
            <w:pPr>
              <w:pStyle w:val="Compact"/>
            </w:pPr>
            <w:r>
              <w:t xml:space="preserve">−5,08</w:t>
            </w:r>
          </w:p>
        </w:tc>
        <w:tc>
          <w:tcPr/>
          <w:p>
            <w:pPr>
              <w:pStyle w:val="Compact"/>
            </w:pPr>
            <w:r>
              <w:t xml:space="preserve">17/08/2021</w:t>
            </w:r>
          </w:p>
        </w:tc>
        <w:tc>
          <w:tcPr/>
          <w:p>
            <w:pPr>
              <w:pStyle w:val="Compact"/>
            </w:pPr>
            <w:r>
              <w:t xml:space="preserve">stationnaire autour d’une rupture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Gaz</w:t>
            </w:r>
          </w:p>
        </w:tc>
        <w:tc>
          <w:tcPr/>
          <w:p>
            <w:pPr>
              <w:pStyle w:val="Compact"/>
            </w:pPr>
            <w:r>
              <w:t xml:space="preserve">−4,07</w:t>
            </w:r>
          </w:p>
        </w:tc>
        <w:tc>
          <w:tcPr/>
          <w:p>
            <w:pPr>
              <w:pStyle w:val="Compact"/>
            </w:pPr>
            <w:r>
              <w:t xml:space="preserve">−5,08</w:t>
            </w:r>
          </w:p>
        </w:tc>
        <w:tc>
          <w:tcPr/>
          <w:p>
            <w:pPr>
              <w:pStyle w:val="Compact"/>
            </w:pPr>
            <w:r>
              <w:t xml:space="preserve">03/03/2021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I(1) même avec rupture</w:t>
            </w:r>
          </w:p>
        </w:tc>
      </w:tr>
    </w:tbl>
    <w:p>
      <w:pPr>
        <w:pStyle w:val="BodyText"/>
      </w:pPr>
      <w:r>
        <w:t xml:space="preserve">Les ruptures tombent toutes en 2021, confirmant l’origine « crise » du décalage de niveau.</w:t>
      </w:r>
    </w:p>
    <w:p>
      <w:pPr>
        <w:pStyle w:val="BodyText"/>
      </w:pPr>
      <w:r>
        <w:rPr>
          <w:b/>
          <w:bCs/>
        </w:rPr>
        <w:t xml:space="preserve">Décision méthodologique.</w:t>
      </w:r>
      <w:r>
        <w:t xml:space="preserve"> </w:t>
      </w:r>
      <w:r>
        <w:t xml:space="preserve">Nous traitons les trois séries comme</w:t>
      </w:r>
      <w:r>
        <w:t xml:space="preserve"> </w:t>
      </w:r>
      <w:r>
        <w:rPr>
          <w:b/>
          <w:bCs/>
        </w:rPr>
        <w:t xml:space="preserve">I(1)</w:t>
      </w:r>
      <w:r>
        <w:t xml:space="preserve"> </w:t>
      </w:r>
      <w:r>
        <w:t xml:space="preserve">pour l’analyse de</w:t>
      </w:r>
      <w:r>
        <w:t xml:space="preserve"> </w:t>
      </w:r>
      <w:r>
        <w:t xml:space="preserve">cointégration. Cette décision est justifiée par : (i) le test KPSS qui rejette nettement la</w:t>
      </w:r>
      <w:r>
        <w:t xml:space="preserve"> </w:t>
      </w:r>
      <w:r>
        <w:t xml:space="preserve">stationnarité ; (ii) le mécanisme économique du merit order, qui implique que l’électricité hérite</w:t>
      </w:r>
      <w:r>
        <w:t xml:space="preserve"> </w:t>
      </w:r>
      <w:r>
        <w:t xml:space="preserve">de la tendance stochastique du gaz ; (iii) le fort co-mouvement de basse fréquence (figure 2). Le</w:t>
      </w:r>
      <w:r>
        <w:t xml:space="preserve"> </w:t>
      </w:r>
      <w:r>
        <w:t xml:space="preserve">conflit avec l’ADF est documenté comme une limite (section 6). La procédure de Johansen détermine</w:t>
      </w:r>
      <w:r>
        <w:t xml:space="preserve"> </w:t>
      </w:r>
      <w:r>
        <w:t xml:space="preserve">de toute façon le rang de cointégration de manière endogène.</w:t>
      </w:r>
    </w:p>
    <w:bookmarkEnd w:id="18"/>
    <w:bookmarkStart w:id="22" w:name="cointégration"/>
    <w:p>
      <w:pPr>
        <w:pStyle w:val="Heading2"/>
      </w:pPr>
      <w:r>
        <w:t xml:space="preserve">4. Cointégration</w:t>
      </w:r>
    </w:p>
    <w:bookmarkStart w:id="19" w:name="engle-granger-relation-statique"/>
    <w:p>
      <w:pPr>
        <w:pStyle w:val="Heading3"/>
      </w:pPr>
      <w:r>
        <w:t xml:space="preserve">4.1 Engle-Granger (relation statique)</w:t>
      </w:r>
    </w:p>
    <w:p>
      <w:pPr>
        <w:pStyle w:val="FirstParagraph"/>
      </w:pPr>
      <w:r>
        <w:t xml:space="preserve">Régression de long terme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F</m:t>
              </m:r>
              <m:r>
                <m:t>R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63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30</m:t>
          </m:r>
          <m:r>
            <m:t> 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G</m:t>
              </m:r>
              <m:r>
                <m:t>a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61</m:t>
          </m:r>
          <m:r>
            <m:t> 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D</m:t>
              </m:r>
              <m:r>
                <m:t>E</m:t>
              </m:r>
            </m:sup>
          </m:sSup>
        </m:oMath>
      </m:oMathPara>
    </w:p>
    <w:p>
      <w:pPr>
        <w:pStyle w:val="FirstParagraph"/>
      </w:pPr>
      <w:r>
        <w:t xml:space="preserve">Le test ADF sur les résidus (τ = −13,9, très inférieur aux valeurs critiques de cointégration)</w:t>
      </w:r>
      <w:r>
        <w:t xml:space="preserve"> </w:t>
      </w:r>
      <w:r>
        <w:rPr>
          <w:b/>
          <w:bCs/>
        </w:rPr>
        <w:t xml:space="preserve">rejette la non-cointégration</w:t>
      </w:r>
      <w:r>
        <w:t xml:space="preserve"> </w:t>
      </w:r>
      <w:r>
        <w:t xml:space="preserve">: les résidus sont I(0). Le prix français de long terme est tiré</w:t>
      </w:r>
      <w:r>
        <w:t xml:space="preserve"> </w:t>
      </w:r>
      <w:r>
        <w:t xml:space="preserve">à 0,61 par le prix allemand (couplage) et à 0,30 par le gaz (exposition directe).</w:t>
      </w:r>
    </w:p>
    <w:bookmarkEnd w:id="19"/>
    <w:bookmarkStart w:id="20" w:name="johansen-à-trois-variables-question-1"/>
    <w:p>
      <w:pPr>
        <w:pStyle w:val="Heading3"/>
      </w:pPr>
      <w:r>
        <w:t xml:space="preserve">4.2 Johansen à trois variables —</w:t>
      </w:r>
      <w:r>
        <w:t xml:space="preserve"> </w:t>
      </w:r>
      <w:r>
        <w:rPr>
          <w:i/>
          <w:iCs/>
        </w:rPr>
        <w:t xml:space="preserve">Question 1</w:t>
      </w:r>
    </w:p>
    <w:p>
      <w:pPr>
        <w:pStyle w:val="FirstParagraph"/>
      </w:pPr>
      <w:r>
        <w:t xml:space="preserve">Spécification : VECM à K = 3 retards (critère de Schwarz), constante dans la relation de</w:t>
      </w:r>
      <w:r>
        <w:t xml:space="preserve"> </w:t>
      </w:r>
      <w:r>
        <w:t xml:space="preserve">cointégration, muettes crise/COVID en exogène.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H0</w:t>
            </w:r>
          </w:p>
        </w:tc>
        <w:tc>
          <w:tcPr/>
          <w:p>
            <w:pPr>
              <w:pStyle w:val="Compact"/>
            </w:pPr>
            <w:r>
              <w:t xml:space="preserve">Stat. de la trace</w:t>
            </w:r>
          </w:p>
        </w:tc>
        <w:tc>
          <w:tcPr/>
          <w:p>
            <w:pPr>
              <w:pStyle w:val="Compact"/>
            </w:pPr>
            <w:r>
              <w:t xml:space="preserve">VC 5 %</w:t>
            </w:r>
          </w:p>
        </w:tc>
        <w:tc>
          <w:tcPr/>
          <w:p>
            <w:pPr>
              <w:pStyle w:val="Compact"/>
            </w:pPr>
            <w:r>
              <w:t xml:space="preserve">VC 1 %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= 0</w:t>
            </w:r>
          </w:p>
        </w:tc>
        <w:tc>
          <w:tcPr/>
          <w:p>
            <w:pPr>
              <w:pStyle w:val="Compact"/>
            </w:pPr>
            <w:r>
              <w:t xml:space="preserve">416,9</w:t>
            </w:r>
          </w:p>
        </w:tc>
        <w:tc>
          <w:tcPr/>
          <w:p>
            <w:pPr>
              <w:pStyle w:val="Compact"/>
            </w:pPr>
            <w:r>
              <w:t xml:space="preserve">34,9</w:t>
            </w:r>
          </w:p>
        </w:tc>
        <w:tc>
          <w:tcPr/>
          <w:p>
            <w:pPr>
              <w:pStyle w:val="Compact"/>
            </w:pPr>
            <w:r>
              <w:t xml:space="preserve">41,1</w:t>
            </w:r>
          </w:p>
        </w:tc>
        <w:tc>
          <w:tcPr/>
          <w:p>
            <w:pPr>
              <w:pStyle w:val="Compact"/>
            </w:pPr>
            <w:r>
              <w:t xml:space="preserve">rejet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≤ 1</w:t>
            </w:r>
          </w:p>
        </w:tc>
        <w:tc>
          <w:tcPr/>
          <w:p>
            <w:pPr>
              <w:pStyle w:val="Compact"/>
            </w:pPr>
            <w:r>
              <w:t xml:space="preserve">164,1</w:t>
            </w:r>
          </w:p>
        </w:tc>
        <w:tc>
          <w:tcPr/>
          <w:p>
            <w:pPr>
              <w:pStyle w:val="Compact"/>
            </w:pPr>
            <w:r>
              <w:t xml:space="preserve">20,0</w:t>
            </w:r>
          </w:p>
        </w:tc>
        <w:tc>
          <w:tcPr/>
          <w:p>
            <w:pPr>
              <w:pStyle w:val="Compact"/>
            </w:pPr>
            <w:r>
              <w:t xml:space="preserve">24,6</w:t>
            </w:r>
          </w:p>
        </w:tc>
        <w:tc>
          <w:tcPr/>
          <w:p>
            <w:pPr>
              <w:pStyle w:val="Compact"/>
            </w:pPr>
            <w:r>
              <w:t xml:space="preserve">rejet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≤ 2</w:t>
            </w:r>
          </w:p>
        </w:tc>
        <w:tc>
          <w:tcPr/>
          <w:p>
            <w:pPr>
              <w:pStyle w:val="Compact"/>
            </w:pPr>
            <w:r>
              <w:t xml:space="preserve">12,6</w:t>
            </w:r>
          </w:p>
        </w:tc>
        <w:tc>
          <w:tcPr/>
          <w:p>
            <w:pPr>
              <w:pStyle w:val="Compac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13,0</w:t>
            </w:r>
          </w:p>
        </w:tc>
        <w:tc>
          <w:tcPr/>
          <w:p>
            <w:pPr>
              <w:pStyle w:val="Compact"/>
            </w:pPr>
            <w:r>
              <w:t xml:space="preserve">non rejet à 1 %</w:t>
            </w:r>
          </w:p>
        </w:tc>
      </w:tr>
    </w:tbl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rang de cointégration est r = 2</w:t>
      </w:r>
      <w:r>
        <w:t xml:space="preserve"> </w:t>
      </w:r>
      <w:r>
        <w:t xml:space="preserve">(au seuil de 1 %). Avec trois variables et deux relations</w:t>
      </w:r>
      <w:r>
        <w:t xml:space="preserve"> </w:t>
      </w:r>
      <w:r>
        <w:t xml:space="preserve">d’équilibre, le système ne possède qu’</w:t>
      </w:r>
      <w:r>
        <w:rPr>
          <w:b/>
          <w:bCs/>
        </w:rPr>
        <w:t xml:space="preserve">une seule tendance stochastique commune</w:t>
      </w:r>
      <w:r>
        <w:t xml:space="preserve"> </w:t>
      </w:r>
      <w:r>
        <w:t xml:space="preserve">— le gaz, seule</w:t>
      </w:r>
      <w:r>
        <w:t xml:space="preserve"> </w:t>
      </w:r>
      <w:r>
        <w:t xml:space="preserve">série véritablement I(1).</w:t>
      </w:r>
      <w:r>
        <w:t xml:space="preserve"> </w:t>
      </w:r>
      <w:r>
        <w:rPr>
          <w:b/>
          <w:bCs/>
        </w:rPr>
        <w:t xml:space="preserve">Réponse à la question 1 : oui</w:t>
      </w:r>
      <w:r>
        <w:t xml:space="preserve">, il existe des relations d’équilibre de</w:t>
      </w:r>
      <w:r>
        <w:t xml:space="preserve"> </w:t>
      </w:r>
      <w:r>
        <w:t xml:space="preserve">long terme entre les trois prix, organisées autour du gaz comme moteur commun. (Au seuil de 5 %, le</w:t>
      </w:r>
      <w:r>
        <w:t xml:space="preserve"> </w:t>
      </w:r>
      <w:r>
        <w:t xml:space="preserve">test frôle r = 3, soit la stationnarité du système — manifestation directe de la réversion de</w:t>
      </w:r>
      <w:r>
        <w:t xml:space="preserve"> </w:t>
      </w:r>
      <w:r>
        <w:t xml:space="preserve">l’électricité discutée en section 3.)</w:t>
      </w:r>
    </w:p>
    <w:bookmarkEnd w:id="20"/>
    <w:bookmarkStart w:id="21" w:name="johansen-bivarié-frde-question-2"/>
    <w:p>
      <w:pPr>
        <w:pStyle w:val="Heading3"/>
      </w:pPr>
      <w:r>
        <w:t xml:space="preserve">4.3 Johansen bivarié FR–DE —</w:t>
      </w:r>
      <w:r>
        <w:t xml:space="preserve"> </w:t>
      </w:r>
      <w:r>
        <w:rPr>
          <w:i/>
          <w:iCs/>
        </w:rPr>
        <w:t xml:space="preserve">Question 2</w:t>
      </w:r>
    </w:p>
    <w:p>
      <w:pPr>
        <w:pStyle w:val="FirstParagraph"/>
      </w:pPr>
      <w:r>
        <w:t xml:space="preserve">Le test de la trace rejette nettement r = 0 (251,9 &gt; 20,0). La relation d’équilibre normalisée est</w:t>
      </w:r>
      <w:r>
        <w:t xml:space="preserve"> </w:t>
      </w:r>
      <w:r>
        <w:t xml:space="preserve">quasiment</w:t>
      </w:r>
      <w:r>
        <w:t xml:space="preserve"> </w:t>
      </w:r>
      <w:r>
        <w:rPr>
          <w:b/>
          <w:bCs/>
        </w:rPr>
        <w:t xml:space="preserve">un pour un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F</m:t>
              </m:r>
              <m:r>
                <m:t>R</m:t>
              </m:r>
            </m:sup>
          </m:sSup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82</m:t>
          </m:r>
          <m:r>
            <m:t> 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D</m:t>
              </m:r>
              <m:r>
                <m:t>E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const.</m:t>
          </m:r>
        </m:oMath>
      </m:oMathPara>
    </w:p>
    <w:p>
      <w:pPr>
        <w:pStyle w:val="FirstParagraph"/>
      </w:pPr>
      <w:r>
        <w:rPr>
          <w:b/>
          <w:bCs/>
        </w:rPr>
        <w:t xml:space="preserve">Réponse à la question 2 : oui</w:t>
      </w:r>
      <w:r>
        <w:t xml:space="preserve">, les marchés français et allemand sont en équilibre de long terme,</w:t>
      </w:r>
      <w:r>
        <w:t xml:space="preserve"> </w:t>
      </w:r>
      <w:r>
        <w:t xml:space="preserve">reflet du couplage de marché et des interconnexions.</w:t>
      </w:r>
    </w:p>
    <w:bookmarkEnd w:id="21"/>
    <w:bookmarkEnd w:id="22"/>
    <w:bookmarkStart w:id="26" w:name="Xa324d85d125b4d40ee3183795151e0c30517159"/>
    <w:p>
      <w:pPr>
        <w:pStyle w:val="Heading2"/>
      </w:pPr>
      <w:r>
        <w:t xml:space="preserve">5. Dynamique : modèle à correction d’erreur (VECM) —</w:t>
      </w:r>
      <w:r>
        <w:t xml:space="preserve"> </w:t>
      </w:r>
      <w:r>
        <w:rPr>
          <w:i/>
          <w:iCs/>
        </w:rPr>
        <w:t xml:space="preserve">Question 3</w:t>
      </w:r>
    </w:p>
    <w:p>
      <w:pPr>
        <w:pStyle w:val="FirstParagraph"/>
      </w:pPr>
      <w:r>
        <w:t xml:space="preserve">Les deux relations de long terme estimées (r = 2) sont des relations</w:t>
      </w:r>
      <w:r>
        <w:t xml:space="preserve"> </w:t>
      </w:r>
      <w:r>
        <w:rPr>
          <w:b/>
          <w:bCs/>
        </w:rPr>
        <w:t xml:space="preserve">électricité–gaz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F</m:t>
              </m:r>
              <m:r>
                <m:t>R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57</m:t>
          </m:r>
          <m:r>
            <m:t> 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G</m:t>
              </m:r>
              <m:r>
                <m:t>a</m:t>
              </m:r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D</m:t>
              </m:r>
              <m:r>
                <m:t>E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53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79</m:t>
          </m:r>
          <m:r>
            <m:t> </m:t>
          </m:r>
          <m:r>
            <m:rPr>
              <m:sty m:val="p"/>
            </m:rPr>
            <m:t>log</m:t>
          </m:r>
          <m:sSup>
            <m:e>
              <m:r>
                <m:t>P</m:t>
              </m:r>
            </m:e>
            <m:sup>
              <m:r>
                <m:t>G</m:t>
              </m:r>
              <m:r>
                <m:t>a</m:t>
              </m:r>
              <m:r>
                <m:t>z</m:t>
              </m:r>
            </m:sup>
          </m:sSup>
        </m:oMath>
      </m:oMathPara>
    </w:p>
    <w:p>
      <w:pPr>
        <w:pStyle w:val="FirstParagraph"/>
      </w:pPr>
      <w:r>
        <w:t xml:space="preserve">L’élasticité de long terme au gaz est</w:t>
      </w:r>
      <w:r>
        <w:t xml:space="preserve"> </w:t>
      </w:r>
      <w:r>
        <w:rPr>
          <w:b/>
          <w:bCs/>
        </w:rPr>
        <w:t xml:space="preserve">plus forte en Allemagne (0,79) qu’en France (0,57)</w:t>
      </w:r>
      <w:r>
        <w:t xml:space="preserve"> </w:t>
      </w:r>
      <w:r>
        <w:t xml:space="preserve">:</w:t>
      </w:r>
      <w:r>
        <w:t xml:space="preserve"> </w:t>
      </w:r>
      <w:r>
        <w:t xml:space="preserve">cohérent avec un mix allemand plus gazo-dépendant, amorti en France par le parc nucléaire.</w:t>
      </w:r>
    </w:p>
    <w:p>
      <w:pPr>
        <w:pStyle w:val="BodyText"/>
      </w:pPr>
      <w:r>
        <w:rPr>
          <w:b/>
          <w:bCs/>
        </w:rPr>
        <w:t xml:space="preserve">Coefficients d’ajustement (α) — résultat central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Équation</w:t>
            </w:r>
          </w:p>
        </w:tc>
        <w:tc>
          <w:tcPr/>
          <w:p>
            <w:pPr>
              <w:pStyle w:val="Compact"/>
            </w:pPr>
            <w:r>
              <w:t xml:space="preserve">α vers équil. FR-gaz</w:t>
            </w:r>
          </w:p>
        </w:tc>
        <w:tc>
          <w:tcPr/>
          <w:p>
            <w:pPr>
              <w:pStyle w:val="Compact"/>
            </w:pPr>
            <w:r>
              <w:t xml:space="preserve">α vers équil. DE-gaz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log Élec. FR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−0,145</w:t>
            </w:r>
            <w:r>
              <w:t xml:space="preserve">* (≈14,5 %/j)</w:t>
            </w:r>
          </w:p>
        </w:tc>
        <w:tc>
          <w:tcPr/>
          <w:p>
            <w:pPr>
              <w:pStyle w:val="Compact"/>
            </w:pPr>
            <w:r>
              <w:t xml:space="preserve">−0,068***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log Élec. DE</w:t>
            </w:r>
          </w:p>
        </w:tc>
        <w:tc>
          <w:tcPr/>
          <w:p>
            <w:pPr>
              <w:pStyle w:val="Compact"/>
            </w:pPr>
            <w:r>
              <w:t xml:space="preserve">0,024 (n.s.)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−0,272</w:t>
            </w:r>
            <w:r>
              <w:t xml:space="preserve">* (≈27 %/j)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log Gaz</w:t>
            </w:r>
          </w:p>
        </w:tc>
        <w:tc>
          <w:tcPr/>
          <w:p>
            <w:pPr>
              <w:pStyle w:val="Compact"/>
            </w:pPr>
            <w:r>
              <w:t xml:space="preserve">−0,007 (n.s.)</w:t>
            </w:r>
          </w:p>
        </w:tc>
        <w:tc>
          <w:tcPr/>
          <w:p>
            <w:pPr>
              <w:pStyle w:val="Compact"/>
            </w:pPr>
            <w:r>
              <w:t xml:space="preserve">0,006 (n.s.)</w:t>
            </w:r>
          </w:p>
        </w:tc>
      </w:tr>
    </w:tbl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gaz ne réagit pas</w:t>
      </w:r>
      <w:r>
        <w:t xml:space="preserve"> </w:t>
      </w:r>
      <w:r>
        <w:t xml:space="preserve">aux déséquilibres : il est</w:t>
      </w:r>
      <w:r>
        <w:t xml:space="preserve"> </w:t>
      </w:r>
      <w:r>
        <w:rPr>
          <w:b/>
          <w:bCs/>
        </w:rPr>
        <w:t xml:space="preserve">faiblement exogène</w:t>
      </w:r>
      <w:r>
        <w:t xml:space="preserve"> </w:t>
      </w:r>
      <w:r>
        <w:t xml:space="preserve">et pilote le système. Ce</w:t>
      </w:r>
      <w:r>
        <w:t xml:space="preserve"> </w:t>
      </w:r>
      <w:r>
        <w:t xml:space="preserve">sont les prix de l’électricité qui réalisent l’essentiel de la correction vers l’équilibre, et</w:t>
      </w:r>
      <w:r>
        <w:t xml:space="preserve"> </w:t>
      </w:r>
      <w:r>
        <w:t xml:space="preserve">rapidement (l’Allemagne corrige environ un quart de l’écart par jour). Ce résultat confirme le gaz</w:t>
      </w:r>
      <w:r>
        <w:t xml:space="preserve"> </w:t>
      </w:r>
      <w:r>
        <w:t xml:space="preserve">comme unique tendance commune et valide le mécanisme du merit order.</w:t>
      </w:r>
    </w:p>
    <w:p>
      <w:pPr>
        <w:pStyle w:val="BodyText"/>
      </w:pPr>
      <w:r>
        <w:rPr>
          <w:b/>
          <w:bCs/>
        </w:rPr>
        <w:t xml:space="preserve">Causalité de Granger :</w:t>
      </w:r>
      <w:r>
        <w:t xml:space="preserve"> </w:t>
      </w:r>
      <w:r>
        <w:t xml:space="preserve">le gaz cause les prix de l’électricité au sens de Granger (F = 40,1 ;</w:t>
      </w:r>
      <w:r>
        <w:t xml:space="preserve"> </w:t>
      </w:r>
      <w:r>
        <w:t xml:space="preserve">p &lt; 0,001) ; on observe en outre une</w:t>
      </w:r>
      <w:r>
        <w:t xml:space="preserve"> </w:t>
      </w:r>
      <w:r>
        <w:rPr>
          <w:b/>
          <w:bCs/>
        </w:rPr>
        <w:t xml:space="preserve">causalité bidirectionnelle FR ↔ DE</w:t>
      </w:r>
      <w:r>
        <w:t xml:space="preserve"> </w:t>
      </w:r>
      <w:r>
        <w:t xml:space="preserve">(couplage). À court terme,</w:t>
      </w:r>
      <w:r>
        <w:t xml:space="preserve"> </w:t>
      </w:r>
      <w:r>
        <w:t xml:space="preserve">la répercussion d’un choc gaz sur l’électricité est immédiate (coefficient de Δlog Gaz retardé :</w:t>
      </w:r>
      <w:r>
        <w:t xml:space="preserve"> </w:t>
      </w:r>
      <w:r>
        <w:t xml:space="preserve">+0,42 sur FR, +0,36 sur DE ; significatifs).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Réponse impulsionnelle à un choc sur le gaz" title="" id="24" name="Picture"/>
            <a:graphic>
              <a:graphicData uri="http://schemas.openxmlformats.org/drawingml/2006/picture">
                <pic:pic>
                  <pic:nvPicPr>
                    <pic:cNvPr descr="fig3_irf_gaz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Réponse impulsionnelle à un choc sur le gaz</w:t>
      </w:r>
    </w:p>
    <w:p>
      <w:pPr>
        <w:pStyle w:val="BodyText"/>
      </w:pPr>
      <w:r>
        <w:t xml:space="preserve">La fonction de réponse impulsionnelle montre qu’un choc sur le gaz élève les prix de l’électricité,</w:t>
      </w:r>
      <w:r>
        <w:t xml:space="preserve"> </w:t>
      </w:r>
      <w:r>
        <w:t xml:space="preserve">avec un pic vers le 2ᵉ jour, puis un effet</w:t>
      </w:r>
      <w:r>
        <w:t xml:space="preserve"> </w:t>
      </w:r>
      <w:r>
        <w:rPr>
          <w:b/>
          <w:bCs/>
        </w:rPr>
        <w:t xml:space="preserve">permanent</w:t>
      </w:r>
      <w:r>
        <w:t xml:space="preserve"> </w:t>
      </w:r>
      <w:r>
        <w:t xml:space="preserve">(≈ +3 % pour la France, +4 % pour</w:t>
      </w:r>
      <w:r>
        <w:t xml:space="preserve"> </w:t>
      </w:r>
      <w:r>
        <w:t xml:space="preserve">l’Allemagne) — signature de la cointégration : le choc déplace durablement l’équilibre.</w:t>
      </w:r>
    </w:p>
    <w:p>
      <w:pPr>
        <w:pStyle w:val="BodyText"/>
      </w:pPr>
      <w:r>
        <w:rPr>
          <w:b/>
          <w:bCs/>
        </w:rPr>
        <w:t xml:space="preserve">Réponse à la question 3 :</w:t>
      </w:r>
      <w:r>
        <w:t xml:space="preserve"> </w:t>
      </w:r>
      <w:r>
        <w:t xml:space="preserve">la dynamique est gouvernée par le gaz (exogène), auquel les prix de</w:t>
      </w:r>
      <w:r>
        <w:t xml:space="preserve"> </w:t>
      </w:r>
      <w:r>
        <w:t xml:space="preserve">l’électricité s’ajustent rapidement ; les marchés français et allemand s’influencent mutuellement,</w:t>
      </w:r>
      <w:r>
        <w:t xml:space="preserve"> </w:t>
      </w:r>
      <w:r>
        <w:t xml:space="preserve">et l’Allemagne, plus exposée au gaz, réagit plus fortement.</w:t>
      </w:r>
    </w:p>
    <w:bookmarkEnd w:id="26"/>
    <w:bookmarkStart w:id="27" w:name="diagnostics-et-limites"/>
    <w:p>
      <w:pPr>
        <w:pStyle w:val="Heading2"/>
      </w:pPr>
      <w:r>
        <w:t xml:space="preserve">6. Diagnostics et limites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Statistique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Stabilité (racine max.)</w:t>
            </w:r>
          </w:p>
        </w:tc>
        <w:tc>
          <w:tcPr/>
          <w:p>
            <w:pPr>
              <w:pStyle w:val="Compact"/>
            </w:pPr>
            <w:r>
              <w:t xml:space="preserve">0,993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</w:t>
            </w:r>
            <w:r>
              <w:t xml:space="preserve"> </w:t>
            </w:r>
            <w:r>
              <w:t xml:space="preserve">(&lt;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Autocorrélation (Portmanteau)</w:t>
            </w:r>
          </w:p>
        </w:tc>
        <w:tc>
          <w:tcPr/>
          <w:p>
            <w:pPr>
              <w:pStyle w:val="Compact"/>
            </w:pPr>
            <w:r>
              <w:t xml:space="preserve">320,5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  <w:tc>
          <w:tcPr/>
          <w:p>
            <w:pPr>
              <w:pStyle w:val="Compact"/>
            </w:pPr>
            <w:r>
              <w:t xml:space="preserve">autocorrélation résiduelle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Normalité (Jarque-Bera)</w:t>
            </w:r>
          </w:p>
        </w:tc>
        <w:tc>
          <w:tcPr/>
          <w:p>
            <w:pPr>
              <w:pStyle w:val="Compact"/>
            </w:pPr>
            <w:r>
              <w:t xml:space="preserve">299 020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  <w:tc>
          <w:tcPr/>
          <w:p>
            <w:pPr>
              <w:pStyle w:val="Compact"/>
            </w:pPr>
            <w:r>
              <w:t xml:space="preserve">non-normalité (queues épaisses)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Hétéroscédasticité (ARCH)</w:t>
            </w:r>
          </w:p>
        </w:tc>
        <w:tc>
          <w:tcPr/>
          <w:p>
            <w:pPr>
              <w:pStyle w:val="Compact"/>
            </w:pPr>
            <w:r>
              <w:t xml:space="preserve">2 132,9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  <w:tc>
          <w:tcPr/>
          <w:p>
            <w:pPr>
              <w:pStyle w:val="Compact"/>
            </w:pPr>
            <w:r>
              <w:t xml:space="preserve">volatilité groupée</w:t>
            </w:r>
          </w:p>
        </w:tc>
      </w:tr>
    </w:tbl>
    <w:p>
      <w:pPr>
        <w:pStyle w:val="BodyText"/>
      </w:pPr>
      <w:r>
        <w:t xml:space="preserve">Le modèle est</w:t>
      </w:r>
      <w:r>
        <w:t xml:space="preserve"> </w:t>
      </w:r>
      <w:r>
        <w:rPr>
          <w:b/>
          <w:bCs/>
        </w:rPr>
        <w:t xml:space="preserve">dynamiquement stable</w:t>
      </w:r>
      <w:r>
        <w:t xml:space="preserve">. La non-normalité et les effets ARCH sont</w:t>
      </w:r>
      <w:r>
        <w:t xml:space="preserve"> </w:t>
      </w:r>
      <w:r>
        <w:rPr>
          <w:b/>
          <w:bCs/>
        </w:rPr>
        <w:t xml:space="preserve">attendus pour des</w:t>
      </w:r>
      <w:r>
        <w:rPr>
          <w:b/>
          <w:bCs/>
        </w:rPr>
        <w:t xml:space="preserve"> </w:t>
      </w:r>
      <w:r>
        <w:rPr>
          <w:b/>
          <w:bCs/>
        </w:rPr>
        <w:t xml:space="preserve">prix énergétiques quotidiens</w:t>
      </w:r>
      <w:r>
        <w:t xml:space="preserve"> </w:t>
      </w:r>
      <w:r>
        <w:t xml:space="preserve">(pics, volatilité groupée) et n’invalident pas la consistance des</w:t>
      </w:r>
      <w:r>
        <w:t xml:space="preserve"> </w:t>
      </w:r>
      <w:r>
        <w:t xml:space="preserve">estimateurs de cointégration ; ils invitent toutefois à la prudence sur l’inférence.</w:t>
      </w:r>
      <w:r>
        <w:t xml:space="preserve"> </w:t>
      </w:r>
      <w:r>
        <w:rPr>
          <w:b/>
          <w:bCs/>
        </w:rPr>
        <w:t xml:space="preserve">Limites et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extensions :</w:t>
      </w:r>
      <w:r>
        <w:t xml:space="preserve"> </w:t>
      </w:r>
      <w:r>
        <w:t xml:space="preserve">(i) l’autocorrélation résiduelle pourrait être réduite par un nombre de retards plus</w:t>
      </w:r>
      <w:r>
        <w:t xml:space="preserve"> </w:t>
      </w:r>
      <w:r>
        <w:t xml:space="preserve">élevé (l’AIC suggérait K = 9) ; (ii) la volatilité groupée justifierait une extension à un modèle</w:t>
      </w:r>
      <w:r>
        <w:t xml:space="preserve"> </w:t>
      </w:r>
      <w:r>
        <w:rPr>
          <w:b/>
          <w:bCs/>
        </w:rPr>
        <w:t xml:space="preserve">GARCH multivarié</w:t>
      </w:r>
      <w:r>
        <w:t xml:space="preserve"> </w:t>
      </w:r>
      <w:r>
        <w:t xml:space="preserve">; (iii) le conflit ADF/KPSS sur l’électricité (réversion à la moyenne)</w:t>
      </w:r>
      <w:r>
        <w:t xml:space="preserve"> </w:t>
      </w:r>
      <w:r>
        <w:t xml:space="preserve">constitue la principale réserve théorique, atténuée ici par le raisonnement économique et le test KPSS.</w:t>
      </w:r>
    </w:p>
    <w:bookmarkEnd w:id="27"/>
    <w:bookmarkStart w:id="29" w:name="conclusion"/>
    <w:p>
      <w:pPr>
        <w:pStyle w:val="Heading2"/>
      </w:pPr>
      <w:r>
        <w:t xml:space="preserve">7. Conclusion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Équilibre entre les 3 prix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rang de cointégration 2 ; le gaz est l’unique tendance commune.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Équilibre FR ↔ DE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relation de long terme quasi 1:1 ; marchés couplés.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Dynamique ?</w:t>
            </w:r>
          </w:p>
        </w:tc>
        <w:tc>
          <w:tcPr/>
          <w:p>
            <w:pPr>
              <w:pStyle w:val="Compact"/>
            </w:pPr>
            <w:r>
              <w:t xml:space="preserve">Gaz exogène moteur ; l’électricité s’ajuste vite (14-27 %/j) ; répercussion immédiate et permanente d’un choc gaz ; feedback FR ↔ DE.</w:t>
            </w:r>
          </w:p>
        </w:tc>
      </w:tr>
    </w:tbl>
    <w:p>
      <w:pPr>
        <w:pStyle w:val="BodyText"/>
      </w:pPr>
      <w:r>
        <w:t xml:space="preserve">L’analyse confirme empiriquement le mécanisme du merit order : le prix du gaz constitue l’ancrage de</w:t>
      </w:r>
      <w:r>
        <w:t xml:space="preserve"> </w:t>
      </w:r>
      <w:r>
        <w:t xml:space="preserve">long terme des prix de gros de l’électricité en France et en Allemagne, et le couplage des deux</w:t>
      </w:r>
      <w:r>
        <w:t xml:space="preserve"> </w:t>
      </w:r>
      <w:r>
        <w:t xml:space="preserve">marchés se traduit par une relation d’équilibre quasi unitaire entre eux.</w:t>
      </w:r>
    </w:p>
    <w:p>
      <w:r>
        <w:pict>
          <v:rect style="width:0;height:1.5pt" o:hralign="center" o:hrstd="t" o:hr="t"/>
        </w:pict>
      </w:r>
    </w:p>
    <w:bookmarkStart w:id="28" w:name="annexe-reproductibilité"/>
    <w:p>
      <w:pPr>
        <w:pStyle w:val="Heading3"/>
      </w:pPr>
      <w:r>
        <w:t xml:space="preserve">Annexe — reproductibilité</w:t>
      </w:r>
    </w:p>
    <w:p>
      <w:pPr>
        <w:pStyle w:val="FirstParagraph"/>
      </w:pPr>
      <w:r>
        <w:t xml:space="preserve">Scripts R (dossier</w:t>
      </w:r>
      <w:r>
        <w:t xml:space="preserve"> </w:t>
      </w:r>
      <w:r>
        <w:rPr>
          <w:rStyle w:val="VerbatimChar"/>
        </w:rPr>
        <w:t xml:space="preserve">rendu/</w:t>
      </w:r>
      <w:r>
        <w:t xml:space="preserve">, environnement isolé</w:t>
      </w:r>
      <w:r>
        <w:t xml:space="preserve"> </w:t>
      </w:r>
      <w:r>
        <w:rPr>
          <w:rStyle w:val="VerbatimChar"/>
        </w:rPr>
        <w:t xml:space="preserve">renv</w:t>
      </w:r>
      <w:r>
        <w:t xml:space="preserve">) :</w:t>
      </w:r>
      <w:r>
        <w:t xml:space="preserve"> </w:t>
      </w:r>
      <w:r>
        <w:rPr>
          <w:rStyle w:val="VerbatimChar"/>
        </w:rPr>
        <w:t xml:space="preserve">01_donnees_et_exploration.R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02_racine_unitaire.R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03_cointegration.R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04_vecm_dynamique.R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05_diagnostics.R</w:t>
      </w:r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2026-06-09T14:39:08Z</dcterms:created>
  <dcterms:modified xsi:type="dcterms:W3CDTF">2026-06-09T14:39:08Z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