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drawing>
          <wp:inline xmlns:a="http://schemas.openxmlformats.org/drawingml/2006/main" xmlns:pic="http://schemas.openxmlformats.org/drawingml/2006/picture">
            <wp:extent cx="590136" cy="566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teisrio_azu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136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color w:val="C2410C"/>
          <w:sz w:val="18"/>
        </w:rPr>
        <w:t>NOTA TÉCNICA · POSICIONAMENTO INSTITUCIONAL</w:t>
      </w:r>
    </w:p>
    <w:p>
      <w:pPr>
        <w:spacing w:after="40"/>
      </w:pPr>
      <w:r>
        <w:rPr>
          <w:b/>
          <w:color w:val="0F1D33"/>
          <w:sz w:val="34"/>
        </w:rPr>
        <w:t>A necessidade de regulamentação adequada do aluguel de temporada (STR)</w:t>
      </w:r>
    </w:p>
    <w:p>
      <w:pPr>
        <w:spacing w:after="200"/>
      </w:pPr>
      <w:r>
        <w:rPr>
          <w:b w:val="0"/>
          <w:color w:val="5B6B85"/>
          <w:sz w:val="20"/>
        </w:rPr>
        <w:t>HotéisRIO — Sindicato de Hotéis e Meios de Hospedagem do Município do Rio de Janeiro · Subsídio para diálogo com o poder público · Junho/2026</w:t>
      </w:r>
    </w:p>
    <w:p>
      <w:pPr>
        <w:pBdr>
          <w:bottom w:val="single" w:sz="18" w:space="1" w:color="f97316"/>
        </w:pBd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E8EEFB"/>
          </w:tcPr>
          <w:p>
            <w:r/>
            <w:r>
              <w:rPr>
                <w:b/>
                <w:color w:val="0F1D33"/>
                <w:sz w:val="22"/>
              </w:rPr>
              <w:t>Tese central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 xml:space="preserve">O aluguel de temporada exercido de forma </w:t>
            </w:r>
            <w:r>
              <w:rPr>
                <w:b/>
                <w:sz w:val="21"/>
              </w:rPr>
              <w:t>profissional, reiterada e em escala</w:t>
            </w:r>
            <w:r>
              <w:rPr>
                <w:b w:val="0"/>
                <w:sz w:val="21"/>
              </w:rPr>
              <w:t xml:space="preserve"> não é locação: é </w:t>
            </w:r>
            <w:r>
              <w:rPr>
                <w:b/>
                <w:sz w:val="21"/>
              </w:rPr>
              <w:t>prestação de serviço de hospedagem</w:t>
            </w:r>
            <w:r>
              <w:rPr>
                <w:b w:val="0"/>
                <w:sz w:val="21"/>
              </w:rPr>
              <w:t xml:space="preserve">. Tratá-lo sob a Lei do Inquilinato é um </w:t>
            </w:r>
            <w:r>
              <w:rPr>
                <w:b/>
                <w:sz w:val="21"/>
              </w:rPr>
              <w:t>enquadramento jurídico equivocado</w:t>
            </w:r>
            <w:r>
              <w:rPr>
                <w:b w:val="0"/>
                <w:sz w:val="21"/>
              </w:rPr>
              <w:t xml:space="preserve"> que cria um mercado de hotelaria informal — sem tributação, sem fiscalização sanitária, sem segurança contra incêndio e sem responsabilidade trabalhista equivalentes. Não se pede proibição: pede-se </w:t>
            </w:r>
            <w:r>
              <w:rPr>
                <w:b/>
                <w:sz w:val="21"/>
              </w:rPr>
              <w:t>isonomia e regulamentação</w:t>
            </w:r>
            <w:r>
              <w:rPr>
                <w:b w:val="0"/>
                <w:sz w:val="21"/>
              </w:rPr>
              <w:t>, em defesa do consumidor, do erário e da cidade.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12" w:space="4" w:color="2563eb"/>
        </w:pBdr>
      </w:pPr>
      <w:r>
        <w:rPr>
          <w:b/>
          <w:color w:val="0F1D33"/>
          <w:sz w:val="28"/>
        </w:rPr>
        <w:t>1. O argumento jurídico: hospedagem não é locação</w:t>
      </w:r>
    </w:p>
    <w:p>
      <w:pPr>
        <w:spacing w:after="120"/>
      </w:pPr>
      <w:r>
        <w:rPr>
          <w:b w:val="0"/>
          <w:sz w:val="21"/>
        </w:rPr>
        <w:t>A distinção é de natureza, e não de duração: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F4F6FB"/>
          </w:tcPr>
          <w:p>
            <w:r/>
            <w:r>
              <w:rPr>
                <w:b/>
                <w:color w:val="5B6B85"/>
                <w:sz w:val="19"/>
              </w:rPr>
              <w:t>Locação por temporada (Lei 8.245/91, art. 48)</w:t>
            </w:r>
          </w:p>
        </w:tc>
        <w:tc>
          <w:tcPr>
            <w:tcW w:type="dxa" w:w="4896"/>
            <w:shd w:val="clear" w:fill="F4F6FB"/>
          </w:tcPr>
          <w:p>
            <w:r/>
            <w:r>
              <w:rPr>
                <w:b/>
                <w:color w:val="5B6B85"/>
                <w:sz w:val="19"/>
              </w:rPr>
              <w:t>STR profissional (o que ocorre de fato)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Cessão do uso de um imóvel a um locatário determinado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Oferta ao público em plataforma, contínua e impessoal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Relação bilateral e pessoal entre locador e inquilino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Hóspedes rotativos, diárias, check-in/out, limpeza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Sem prestação de serviços; sem oferta pública contínua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Operadores com múltiplas unidades e gestão profissional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Prazo até 90 dias para fim específico (lazer, curso, saúde)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Em essência, um meio de hospedagem (Lei 11.771/2008)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EFF5FF"/>
          </w:tcPr>
          <w:p>
            <w:r/>
          </w:p>
          <w:p>
            <w:pPr>
              <w:spacing w:after="60"/>
            </w:pPr>
            <w:r>
              <w:rPr>
                <w:b/>
                <w:sz w:val="21"/>
              </w:rPr>
              <w:t>Precedente que sustenta a tese:</w:t>
            </w:r>
            <w:r>
              <w:rPr>
                <w:b w:val="0"/>
                <w:sz w:val="21"/>
              </w:rPr>
              <w:t xml:space="preserve"> o Superior Tribunal de Justiça já reconheceu (REsp 1.819.075/RS, 4ª Turma, 2021) que a locação de curtíssima temporada via plataformas é uma </w:t>
            </w:r>
            <w:r>
              <w:rPr>
                <w:b/>
                <w:sz w:val="21"/>
              </w:rPr>
              <w:t>“nova modalidade de hospedagem atípica”</w:t>
            </w:r>
            <w:r>
              <w:rPr>
                <w:b w:val="0"/>
                <w:sz w:val="21"/>
              </w:rPr>
              <w:t xml:space="preserve"> — e não locação residencial típica —, admitindo inclusive que condomínios residenciais a restrinjam.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>(Referências legais e jurisprudenciais a serem confirmadas/atualizadas pela assessoria jurídica antes do uso oficial.)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Conclusão: o que define a atividade é a </w:t>
      </w:r>
      <w:r>
        <w:rPr>
          <w:b/>
          <w:sz w:val="21"/>
        </w:rPr>
        <w:t>natureza hoteleira</w:t>
      </w:r>
      <w:r>
        <w:rPr>
          <w:b w:val="0"/>
          <w:sz w:val="21"/>
        </w:rPr>
        <w:t xml:space="preserve"> (serviço, rotatividade, oferta pública, profissionalismo), e não o rótulo de “temporada”. O enquadramento na Lei do Inquilinato serve, na prática, para </w:t>
      </w:r>
      <w:r>
        <w:rPr>
          <w:b/>
          <w:sz w:val="21"/>
        </w:rPr>
        <w:t>fugir das obrigações da hotelaria</w:t>
      </w:r>
      <w:r>
        <w:rPr>
          <w:b w:val="0"/>
          <w:sz w:val="21"/>
        </w:rPr>
        <w:t>.</w:t>
      </w:r>
    </w:p>
    <w:p>
      <w:pPr>
        <w:spacing w:before="280" w:after="80"/>
        <w:pBdr>
          <w:bottom w:val="single" w:sz="12" w:space="4" w:color="2563eb"/>
        </w:pBdr>
      </w:pPr>
      <w:r>
        <w:rPr>
          <w:b/>
          <w:color w:val="0F1D33"/>
          <w:sz w:val="28"/>
        </w:rPr>
        <w:t>2. A escala: uma rede hoteleira paralela</w:t>
      </w:r>
    </w:p>
    <w:p>
      <w:pPr>
        <w:spacing w:after="120"/>
      </w:pPr>
      <w:r>
        <w:rPr>
          <w:b w:val="0"/>
          <w:sz w:val="21"/>
        </w:rPr>
        <w:t>O fenômeno deixou de ser doméstico. Os dados da cidade mostram operação de porte hoteleiro:</w:t>
      </w:r>
    </w:p>
    <w:p>
      <w:pPr>
        <w:pStyle w:val="ListBullet"/>
        <w:spacing w:after="60"/>
      </w:pPr>
      <w:r>
        <w:rPr>
          <w:b/>
          <w:sz w:val="21"/>
        </w:rPr>
        <w:t>~29.482 imóveis</w:t>
      </w:r>
      <w:r>
        <w:rPr>
          <w:b w:val="0"/>
          <w:sz w:val="21"/>
        </w:rPr>
        <w:t xml:space="preserve"> de temporada com reservas por mês (2025);</w:t>
      </w:r>
    </w:p>
    <w:p>
      <w:pPr>
        <w:pStyle w:val="ListBullet"/>
        <w:spacing w:after="60"/>
      </w:pPr>
      <w:r>
        <w:rPr>
          <w:b/>
          <w:sz w:val="21"/>
        </w:rPr>
        <w:t>+74%</w:t>
      </w:r>
      <w:r>
        <w:rPr>
          <w:b w:val="0"/>
          <w:sz w:val="21"/>
        </w:rPr>
        <w:t xml:space="preserve"> de crescimento da oferta em apenas dois anos;</w:t>
      </w:r>
    </w:p>
    <w:p>
      <w:pPr>
        <w:pStyle w:val="ListBullet"/>
        <w:spacing w:after="60"/>
      </w:pPr>
      <w:r>
        <w:rPr>
          <w:b/>
          <w:sz w:val="21"/>
        </w:rPr>
        <w:t>3,1×</w:t>
      </w:r>
      <w:r>
        <w:rPr>
          <w:b w:val="0"/>
          <w:sz w:val="21"/>
        </w:rPr>
        <w:t xml:space="preserve"> mais imóveis de temporada do que quartos de hotel em Ipanema/Leblon.</w:t>
      </w:r>
    </w:p>
    <w:p>
      <w:pPr>
        <w:spacing w:after="120"/>
      </w:pPr>
      <w:r>
        <w:rPr>
          <w:b w:val="0"/>
          <w:sz w:val="21"/>
        </w:rPr>
        <w:t xml:space="preserve">Oferta equivalente às </w:t>
      </w:r>
      <w:r>
        <w:rPr>
          <w:b/>
          <w:sz w:val="21"/>
        </w:rPr>
        <w:t>31.644 UHs</w:t>
      </w:r>
      <w:r>
        <w:rPr>
          <w:b w:val="0"/>
          <w:sz w:val="21"/>
        </w:rPr>
        <w:t xml:space="preserve"> da hotelaria formal, operando majoritariamente fora do marco regulatório. O alvo não é o cidadão que aluga esporadicamente, e sim o </w:t>
      </w:r>
      <w:r>
        <w:rPr>
          <w:b/>
          <w:sz w:val="21"/>
        </w:rPr>
        <w:t>operador profissional</w:t>
      </w:r>
      <w:r>
        <w:rPr>
          <w:b w:val="0"/>
          <w:sz w:val="21"/>
        </w:rPr>
        <w:t xml:space="preserve"> que mantém dezenas de unidades em regime de hotel.</w:t>
      </w:r>
    </w:p>
    <w:p>
      <w:pPr>
        <w:spacing w:before="280" w:after="80"/>
        <w:pBdr>
          <w:bottom w:val="single" w:sz="12" w:space="4" w:color="2563eb"/>
        </w:pBdr>
      </w:pPr>
      <w:r>
        <w:rPr>
          <w:b/>
          <w:color w:val="0F1D33"/>
          <w:sz w:val="28"/>
        </w:rPr>
        <w:t>3. Isonomia concorrencial e tributária</w:t>
      </w:r>
    </w:p>
    <w:p>
      <w:pPr>
        <w:spacing w:after="120"/>
      </w:pPr>
      <w:r>
        <w:rPr>
          <w:b w:val="0"/>
          <w:sz w:val="21"/>
        </w:rPr>
        <w:t>Quem hospeda deve cumprir as mesmas regras de quem hospeda. Hoje há assimetria que distorce a concorrência e subtrai receita pública: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F4F6FB"/>
          </w:tcPr>
          <w:p>
            <w:r/>
            <w:r>
              <w:rPr>
                <w:b/>
                <w:color w:val="5B6B85"/>
                <w:sz w:val="19"/>
              </w:rPr>
              <w:t>Obrigação</w:t>
            </w:r>
          </w:p>
        </w:tc>
        <w:tc>
          <w:tcPr>
            <w:tcW w:type="dxa" w:w="3264"/>
            <w:shd w:val="clear" w:fill="F4F6FB"/>
          </w:tcPr>
          <w:p>
            <w:r/>
            <w:r>
              <w:rPr>
                <w:b/>
                <w:color w:val="5B6B85"/>
                <w:sz w:val="19"/>
              </w:rPr>
              <w:t>Hotel</w:t>
            </w:r>
          </w:p>
        </w:tc>
        <w:tc>
          <w:tcPr>
            <w:tcW w:type="dxa" w:w="3264"/>
            <w:shd w:val="clear" w:fill="F4F6FB"/>
          </w:tcPr>
          <w:p>
            <w:r/>
            <w:r>
              <w:rPr>
                <w:b/>
                <w:color w:val="5B6B85"/>
                <w:sz w:val="19"/>
              </w:rPr>
              <w:t>STR profissional (em regra)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Cadastro turístico (Cadastur)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Sim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Não exigido / não fiscalizado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ISS sobre hospedagem + tributos municipais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Sim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Em geral não recolhe ISS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Licença sanitária / vigilância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Sim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Não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Auto de Vistoria do Corpo de Bombeiros (AVCB)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Sim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Não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Alvará de funcionamento / acessibilidade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Sim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Não</w:t>
            </w:r>
          </w:p>
        </w:tc>
      </w:tr>
      <w:tr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Vínculos trabalhistas (CLT) e encargos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Sim</w:t>
            </w:r>
          </w:p>
        </w:tc>
        <w:tc>
          <w:tcPr>
            <w:tcW w:type="dxa" w:w="3264"/>
          </w:tcPr>
          <w:p>
            <w:r/>
            <w:r>
              <w:rPr>
                <w:b w:val="0"/>
                <w:sz w:val="20"/>
              </w:rPr>
              <w:t>Informal / terceirizado</w:t>
            </w:r>
          </w:p>
        </w:tc>
      </w:tr>
    </w:tbl>
    <w:p>
      <w:pPr>
        <w:spacing w:after="120"/>
      </w:pPr>
      <w:r>
        <w:rPr>
          <w:b w:val="0"/>
          <w:sz w:val="21"/>
        </w:rPr>
        <w:t xml:space="preserve">Resultado: </w:t>
      </w:r>
      <w:r>
        <w:rPr>
          <w:b/>
          <w:sz w:val="21"/>
        </w:rPr>
        <w:t>concorrência desigual</w:t>
      </w:r>
      <w:r>
        <w:rPr>
          <w:b w:val="0"/>
          <w:sz w:val="21"/>
        </w:rPr>
        <w:t xml:space="preserve"> (custo regulatório só de um lado) e </w:t>
      </w:r>
      <w:r>
        <w:rPr>
          <w:b/>
          <w:sz w:val="21"/>
        </w:rPr>
        <w:t>perda de arrecadação</w:t>
      </w:r>
      <w:r>
        <w:rPr>
          <w:b w:val="0"/>
          <w:sz w:val="21"/>
        </w:rPr>
        <w:t xml:space="preserve"> municipal de ISS e taxas — recursos que financiam a própria cidade que recebe o turista.</w:t>
      </w:r>
    </w:p>
    <w:p>
      <w:pPr>
        <w:spacing w:before="280" w:after="80"/>
        <w:pBdr>
          <w:bottom w:val="single" w:sz="12" w:space="4" w:color="2563eb"/>
        </w:pBdr>
      </w:pPr>
      <w:r>
        <w:rPr>
          <w:b/>
          <w:color w:val="0F1D33"/>
          <w:sz w:val="28"/>
        </w:rPr>
        <w:t>4. Segurança e defesa do consumidor</w:t>
      </w:r>
    </w:p>
    <w:p>
      <w:pPr>
        <w:pStyle w:val="ListBullet"/>
        <w:spacing w:after="60"/>
      </w:pPr>
      <w:r>
        <w:rPr>
          <w:b/>
          <w:sz w:val="21"/>
        </w:rPr>
        <w:t>Segurança contra incêndio:</w:t>
      </w:r>
      <w:r>
        <w:rPr>
          <w:b w:val="0"/>
          <w:sz w:val="21"/>
        </w:rPr>
        <w:t xml:space="preserve"> imóveis sem AVCB, sem brigada, sinalização ou extintores — risco à vida.</w:t>
      </w:r>
    </w:p>
    <w:p>
      <w:pPr>
        <w:pStyle w:val="ListBullet"/>
        <w:spacing w:after="60"/>
      </w:pPr>
      <w:r>
        <w:rPr>
          <w:b/>
          <w:sz w:val="21"/>
        </w:rPr>
        <w:t>Vigilância sanitária:</w:t>
      </w:r>
      <w:r>
        <w:rPr>
          <w:b w:val="0"/>
          <w:sz w:val="21"/>
        </w:rPr>
        <w:t xml:space="preserve"> ausência de controle de higiene, potabilidade e pragas.</w:t>
      </w:r>
    </w:p>
    <w:p>
      <w:pPr>
        <w:pStyle w:val="ListBullet"/>
        <w:spacing w:after="60"/>
      </w:pPr>
      <w:r>
        <w:rPr>
          <w:b/>
          <w:sz w:val="21"/>
        </w:rPr>
        <w:t>Segurança pública:</w:t>
      </w:r>
      <w:r>
        <w:rPr>
          <w:b w:val="0"/>
          <w:sz w:val="21"/>
        </w:rPr>
        <w:t xml:space="preserve"> hóspedes não identificados em prédios residenciais, sem registro.</w:t>
      </w:r>
    </w:p>
    <w:p>
      <w:pPr>
        <w:pStyle w:val="ListBullet"/>
        <w:spacing w:after="60"/>
      </w:pPr>
      <w:r>
        <w:rPr>
          <w:b/>
          <w:sz w:val="21"/>
        </w:rPr>
        <w:t>Defesa do consumidor:</w:t>
      </w:r>
      <w:r>
        <w:rPr>
          <w:b w:val="0"/>
          <w:sz w:val="21"/>
        </w:rPr>
        <w:t xml:space="preserve"> proteção e responsabilização inferiores às do hóspede de hotel.</w:t>
      </w:r>
    </w:p>
    <w:p>
      <w:pPr>
        <w:spacing w:before="280" w:after="80"/>
        <w:pBdr>
          <w:bottom w:val="single" w:sz="12" w:space="4" w:color="2563eb"/>
        </w:pBdr>
      </w:pPr>
      <w:r>
        <w:rPr>
          <w:b/>
          <w:color w:val="0F1D33"/>
          <w:sz w:val="28"/>
        </w:rPr>
        <w:t>5. Impacto habitacional e urbano</w:t>
      </w:r>
    </w:p>
    <w:p>
      <w:pPr>
        <w:spacing w:after="120"/>
      </w:pPr>
      <w:r>
        <w:rPr>
          <w:b w:val="0"/>
          <w:sz w:val="21"/>
        </w:rPr>
        <w:t xml:space="preserve">A conversão de moradias em hospedagem permanente </w:t>
      </w:r>
      <w:r>
        <w:rPr>
          <w:b/>
          <w:sz w:val="21"/>
        </w:rPr>
        <w:t>retira imóveis do estoque residencial</w:t>
      </w:r>
      <w:r>
        <w:rPr>
          <w:b w:val="0"/>
          <w:sz w:val="21"/>
        </w:rPr>
        <w:t xml:space="preserve">, pressiona o aluguel de longo prazo e acelera a “turistificação”. Foi o que levou </w:t>
      </w:r>
      <w:r>
        <w:rPr>
          <w:b/>
          <w:sz w:val="21"/>
        </w:rPr>
        <w:t>Barcelona, Lisboa, Paris, Amsterdã e Nova York</w:t>
      </w:r>
      <w:r>
        <w:rPr>
          <w:b w:val="0"/>
          <w:sz w:val="21"/>
        </w:rPr>
        <w:t xml:space="preserve"> a licenciar, cadastrar e limitar dias de operação do STR. Regular é a </w:t>
      </w:r>
      <w:r>
        <w:rPr>
          <w:b/>
          <w:sz w:val="21"/>
        </w:rPr>
        <w:t>regra internacional</w:t>
      </w:r>
      <w:r>
        <w:rPr>
          <w:b w:val="0"/>
          <w:sz w:val="21"/>
        </w:rPr>
        <w:t xml:space="preserve"> — e protege o morador, não só o hoteleiro.</w:t>
      </w:r>
    </w:p>
    <w:p>
      <w:pPr>
        <w:spacing w:before="280" w:after="80"/>
        <w:pBdr>
          <w:bottom w:val="single" w:sz="12" w:space="4" w:color="2563eb"/>
        </w:pBdr>
      </w:pPr>
      <w:r>
        <w:rPr>
          <w:b/>
          <w:color w:val="0F1D33"/>
          <w:sz w:val="28"/>
        </w:rPr>
        <w:t>6. O que se propõe (não é proibir, é regular)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EFFDF4"/>
          </w:tcPr>
          <w:p>
            <w:r/>
          </w:p>
          <w:p>
            <w:pPr>
              <w:spacing w:after="60"/>
            </w:pPr>
            <w:r>
              <w:rPr>
                <w:b w:val="0"/>
                <w:sz w:val="21"/>
              </w:rPr>
              <w:t xml:space="preserve">• </w:t>
            </w:r>
            <w:r>
              <w:rPr>
                <w:b/>
                <w:sz w:val="21"/>
              </w:rPr>
              <w:t>Classificação correta:</w:t>
            </w:r>
            <w:r>
              <w:rPr>
                <w:b w:val="0"/>
                <w:sz w:val="21"/>
              </w:rPr>
              <w:t xml:space="preserve"> reconhecer o STR profissional como </w:t>
            </w:r>
            <w:r>
              <w:rPr>
                <w:b/>
                <w:sz w:val="21"/>
              </w:rPr>
              <w:t>meio de hospedagem</w:t>
            </w:r>
            <w:r>
              <w:rPr>
                <w:b w:val="0"/>
                <w:sz w:val="21"/>
              </w:rPr>
              <w:t xml:space="preserve"> (Lei Geral do Turismo), e não como locação.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 xml:space="preserve">• </w:t>
            </w:r>
            <w:r>
              <w:rPr>
                <w:b/>
                <w:sz w:val="21"/>
              </w:rPr>
              <w:t>Cadastro obrigatório</w:t>
            </w:r>
            <w:r>
              <w:rPr>
                <w:b w:val="0"/>
                <w:sz w:val="21"/>
              </w:rPr>
              <w:t xml:space="preserve"> de imóveis e operadores, com número visível no anúncio.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 xml:space="preserve">• </w:t>
            </w:r>
            <w:r>
              <w:rPr>
                <w:b/>
                <w:sz w:val="21"/>
              </w:rPr>
              <w:t>Isonomia tributária:</w:t>
            </w:r>
            <w:r>
              <w:rPr>
                <w:b w:val="0"/>
                <w:sz w:val="21"/>
              </w:rPr>
              <w:t xml:space="preserve"> ISS e taxas equivalentes às da hotelaria.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 xml:space="preserve">• </w:t>
            </w:r>
            <w:r>
              <w:rPr>
                <w:b/>
                <w:sz w:val="21"/>
              </w:rPr>
              <w:t>Exigências mínimas de segurança</w:t>
            </w:r>
            <w:r>
              <w:rPr>
                <w:b w:val="0"/>
                <w:sz w:val="21"/>
              </w:rPr>
              <w:t xml:space="preserve"> (incêndio/sanitária) proporcionais à atividade.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 xml:space="preserve">• </w:t>
            </w:r>
            <w:r>
              <w:rPr>
                <w:b/>
                <w:sz w:val="21"/>
              </w:rPr>
              <w:t>Responsabilidade das plataformas</w:t>
            </w:r>
            <w:r>
              <w:rPr>
                <w:b w:val="0"/>
                <w:sz w:val="21"/>
              </w:rPr>
              <w:t xml:space="preserve"> por anunciar apenas imóveis regularizados e repassar dados ao fisco.</w:t>
            </w:r>
          </w:p>
          <w:p>
            <w:pPr>
              <w:spacing w:after="60"/>
            </w:pPr>
            <w:r>
              <w:rPr>
                <w:b w:val="0"/>
                <w:sz w:val="21"/>
              </w:rPr>
              <w:t xml:space="preserve">• </w:t>
            </w:r>
            <w:r>
              <w:rPr>
                <w:b/>
                <w:sz w:val="21"/>
              </w:rPr>
              <w:t>Limites por zona/condomínio</w:t>
            </w:r>
            <w:r>
              <w:rPr>
                <w:b w:val="0"/>
                <w:sz w:val="21"/>
              </w:rPr>
              <w:t>, preservando o uso residencial onde couber.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12" w:space="4" w:color="2563eb"/>
        </w:pBdr>
      </w:pPr>
      <w:r>
        <w:rPr>
          <w:b/>
          <w:color w:val="0F1D33"/>
          <w:sz w:val="28"/>
        </w:rPr>
        <w:t>7. Antecipando os contra-argumentos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F4F6FB"/>
          </w:tcPr>
          <w:p>
            <w:r/>
            <w:r>
              <w:rPr>
                <w:b/>
                <w:color w:val="5B6B85"/>
                <w:sz w:val="19"/>
              </w:rPr>
              <w:t>Dirão que…</w:t>
            </w:r>
          </w:p>
        </w:tc>
        <w:tc>
          <w:tcPr>
            <w:tcW w:type="dxa" w:w="4896"/>
            <w:shd w:val="clear" w:fill="F4F6FB"/>
          </w:tcPr>
          <w:p>
            <w:r/>
            <w:r>
              <w:rPr>
                <w:b/>
                <w:color w:val="5B6B85"/>
                <w:sz w:val="19"/>
              </w:rPr>
              <w:t>Resposta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“Regular é proibir / atrasar a inovação.”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Não se pede proibição, e sim cadastro e isonomia — como já fazem as principais cidades turísticas do mundo.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“O STR só democratiza renda do pequeno proprietário.”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O ocasional pode ter regra simplificada. O alvo é o operador profissional com múltiplas unidades — hotel sem se chamar hotel.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“O hotel só quer eliminar concorrência.”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Os dados mostram que a ocupação hoteleira cresceu mesmo com a expansão do STR. O pleito é por regras iguais, segurança e arrecadação.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“Falta base legal.”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20"/>
              </w:rPr>
              <w:t>O STJ já caracterizou a atividade como hospedagem atípica; a Lei Geral do Turismo já define meios de hospedagem. A lacuna é de fiscalização e regulamentação municipal.</w:t>
            </w:r>
          </w:p>
        </w:tc>
      </w:tr>
    </w:tbl>
    <w:p>
      <w:pPr>
        <w:spacing w:before="280" w:after="80"/>
        <w:pBdr>
          <w:bottom w:val="single" w:sz="12" w:space="4" w:color="2563eb"/>
        </w:pBdr>
      </w:pPr>
      <w:r>
        <w:rPr>
          <w:b/>
          <w:color w:val="0F1D33"/>
          <w:sz w:val="28"/>
        </w:rPr>
        <w:t>8. Mensagem de encerramento</w:t>
      </w:r>
    </w:p>
    <w:p>
      <w:pPr>
        <w:spacing w:after="120"/>
      </w:pPr>
      <w:r>
        <w:rPr>
          <w:b w:val="0"/>
          <w:sz w:val="22"/>
        </w:rPr>
        <w:t xml:space="preserve">A defesa não é dos hotéis contra a tecnologia — é do </w:t>
      </w:r>
      <w:r>
        <w:rPr>
          <w:b/>
          <w:sz w:val="22"/>
        </w:rPr>
        <w:t>interesse público</w:t>
      </w:r>
      <w:r>
        <w:rPr>
          <w:b w:val="0"/>
          <w:sz w:val="22"/>
        </w:rPr>
        <w:t xml:space="preserve">: que toda hospedagem, qualquer que seja a plataforma, pague seus tributos, garanta a segurança do hóspede e respeite a cidade e seus moradores. </w:t>
      </w:r>
      <w:r>
        <w:rPr>
          <w:b/>
          <w:sz w:val="22"/>
        </w:rPr>
        <w:t>Mesma atividade, mesmas regras.</w:t>
      </w:r>
    </w:p>
    <w:p>
      <w:pPr>
        <w:spacing w:after="40"/>
      </w:pPr>
      <w:r>
        <w:rPr>
          <w:b w:val="0"/>
          <w:color w:val="5B6B85"/>
          <w:sz w:val="17"/>
        </w:rPr>
        <w:t>Documento de subsídio elaborado a partir do painel e do relatório de ocupação HotéisRIO × AirDNA (triênio 2023–2025). As referências legais (Lei 8.245/1991; Lei 11.771/2008; REsp 1.819.075/RS) devem ser validadas pela assessoria jurídica antes de apresentação oficial.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