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590136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teisrio_az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136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F1D33"/>
          <w:sz w:val="34"/>
        </w:rPr>
        <w:t>Impacto do Aluguel de Temporada sobre a Hotelaria</w:t>
      </w:r>
    </w:p>
    <w:p>
      <w:pPr>
        <w:spacing w:after="200"/>
      </w:pPr>
      <w:r>
        <w:rPr>
          <w:b w:val="0"/>
          <w:color w:val="5B6B85"/>
          <w:sz w:val="20"/>
        </w:rPr>
        <w:t>Cidade do Rio de Janeiro · Análise do triênio 2023–2025 · Fontes: pesquisa HotéisRIO &amp; AirDNA · Documento de apoio técnico · Junho/2026</w:t>
      </w:r>
    </w:p>
    <w:p>
      <w:pPr>
        <w:pBdr>
          <w:bottom w:val="single" w:sz="18" w:space="1" w:color="f97316"/>
        </w:pBd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6FB"/>
          </w:tcPr>
          <w:p>
            <w:r/>
            <w:r>
              <w:rPr>
                <w:b/>
                <w:color w:val="0F1D33"/>
                <w:sz w:val="22"/>
              </w:rPr>
              <w:t>Resumo executivo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Entre 2023 e 2025, o aluguel de temporada consolidou-se como uma </w:t>
            </w:r>
            <w:r>
              <w:rPr>
                <w:b/>
                <w:sz w:val="21"/>
              </w:rPr>
              <w:t>oferta paralela de hospedagem de porte equivalente ao da hotelaria</w:t>
            </w:r>
            <w:r>
              <w:rPr>
                <w:b w:val="0"/>
                <w:sz w:val="21"/>
              </w:rPr>
              <w:t xml:space="preserve">. Ainda assim, os dados mostram mais </w:t>
            </w:r>
            <w:r>
              <w:rPr>
                <w:b/>
                <w:sz w:val="21"/>
              </w:rPr>
              <w:t>coexistência em um mercado em expansão</w:t>
            </w:r>
            <w:r>
              <w:rPr>
                <w:b w:val="0"/>
                <w:sz w:val="21"/>
              </w:rPr>
              <w:t xml:space="preserve"> do que substituição direta: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• A oferta de temporada </w:t>
            </w:r>
            <w:r>
              <w:rPr>
                <w:b/>
                <w:sz w:val="21"/>
              </w:rPr>
              <w:t>cresceu 74%</w:t>
            </w:r>
            <w:r>
              <w:rPr>
                <w:b w:val="0"/>
                <w:sz w:val="21"/>
              </w:rPr>
              <w:t xml:space="preserve"> em dois anos (~16,9 mil → ~29,5 mil/mês), aproximando-se das </w:t>
            </w:r>
            <w:r>
              <w:rPr>
                <w:b/>
                <w:sz w:val="21"/>
              </w:rPr>
              <w:t>31.644 UHs</w:t>
            </w:r>
            <w:r>
              <w:rPr>
                <w:b w:val="0"/>
                <w:sz w:val="21"/>
              </w:rPr>
              <w:t xml:space="preserve"> da hotelaria.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• Mesmo assim, a </w:t>
            </w:r>
            <w:r>
              <w:rPr>
                <w:b/>
                <w:sz w:val="21"/>
              </w:rPr>
              <w:t>ocupação dos hotéis subiu</w:t>
            </w:r>
            <w:r>
              <w:rPr>
                <w:b w:val="0"/>
                <w:sz w:val="21"/>
              </w:rPr>
              <w:t xml:space="preserve"> (71,1% → 77,7%) e a </w:t>
            </w:r>
            <w:r>
              <w:rPr>
                <w:b/>
                <w:sz w:val="21"/>
              </w:rPr>
              <w:t>vantagem sobre a temporada aumentou</w:t>
            </w:r>
            <w:r>
              <w:rPr>
                <w:b w:val="0"/>
                <w:sz w:val="21"/>
              </w:rPr>
              <w:t xml:space="preserve"> (de 9,9 para 17,6 pontos). Não há canibalização agregada.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• A pressão é </w:t>
            </w:r>
            <w:r>
              <w:rPr>
                <w:b/>
                <w:sz w:val="21"/>
              </w:rPr>
              <w:t>concentrada e sazonal</w:t>
            </w:r>
            <w:r>
              <w:rPr>
                <w:b w:val="0"/>
                <w:sz w:val="21"/>
              </w:rPr>
              <w:t>: forte em bairros residenciais e nos picos de eventos, quando a temporada pratica diárias de até R$ 613.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1. O tamanho do fenômeno</w:t>
      </w:r>
    </w:p>
    <w:p>
      <w:pPr>
        <w:spacing w:after="120"/>
      </w:pPr>
      <w:r>
        <w:rPr>
          <w:b w:val="0"/>
          <w:sz w:val="21"/>
        </w:rPr>
        <w:t>A oferta de temporada já rivaliza em volume com a hotelaria (unidades não diretamente comparáveis — ver observação):</w:t>
      </w:r>
    </w:p>
    <w:p>
      <w:pPr>
        <w:pStyle w:val="ListBullet"/>
        <w:spacing w:after="60"/>
      </w:pPr>
      <w:r>
        <w:rPr>
          <w:b/>
          <w:sz w:val="21"/>
        </w:rPr>
        <w:t>31.644</w:t>
      </w:r>
      <w:r>
        <w:rPr>
          <w:b w:val="0"/>
          <w:sz w:val="21"/>
        </w:rPr>
        <w:t xml:space="preserve"> quartos (UHs) em 286 hotéis;</w:t>
      </w:r>
    </w:p>
    <w:p>
      <w:pPr>
        <w:pStyle w:val="ListBullet"/>
        <w:spacing w:after="60"/>
      </w:pPr>
      <w:r>
        <w:rPr>
          <w:b/>
          <w:sz w:val="21"/>
        </w:rPr>
        <w:t>~29.482</w:t>
      </w:r>
      <w:r>
        <w:rPr>
          <w:b w:val="0"/>
          <w:sz w:val="21"/>
        </w:rPr>
        <w:t xml:space="preserve"> imóveis de temporada com reservas/mês (2025);</w:t>
      </w:r>
    </w:p>
    <w:p>
      <w:pPr>
        <w:pStyle w:val="ListBullet"/>
        <w:spacing w:after="60"/>
      </w:pPr>
      <w:r>
        <w:rPr>
          <w:b/>
          <w:sz w:val="21"/>
        </w:rPr>
        <w:t>+74%</w:t>
      </w:r>
      <w:r>
        <w:rPr>
          <w:b w:val="0"/>
          <w:sz w:val="21"/>
        </w:rPr>
        <w:t xml:space="preserve"> de crescimento da oferta de temporada 2023→2025 (mais de 12 mil imóveis em dois anos).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2. Impactos negativos para a hotelaria</w:t>
      </w:r>
    </w:p>
    <w:p>
      <w:pPr>
        <w:spacing w:after="120"/>
      </w:pPr>
      <w:r>
        <w:rPr>
          <w:b/>
          <w:sz w:val="21"/>
        </w:rPr>
        <w:t>2.1 Oferta concorrente de grande escala e crescimento acelerado.</w:t>
      </w:r>
      <w:r>
        <w:rPr>
          <w:b w:val="0"/>
          <w:sz w:val="21"/>
        </w:rPr>
        <w:t xml:space="preserve"> Estoque de hospedagem de porte semelhante ao hoteleiro, em expansão muito mais rápida e com menor exigência regulatória/tributária — o que limita o poder de elevar preços e ocupação.</w:t>
      </w:r>
    </w:p>
    <w:p>
      <w:pPr>
        <w:spacing w:after="120"/>
      </w:pPr>
      <w:r>
        <w:rPr>
          <w:b/>
          <w:sz w:val="21"/>
        </w:rPr>
        <w:t>2.2 Penetração elevada em bairros-chave.</w:t>
      </w:r>
      <w:r>
        <w:rPr>
          <w:b w:val="0"/>
          <w:sz w:val="21"/>
        </w:rPr>
        <w:t xml:space="preserve"> Onde o hóspede de lazer se concentra, a temporada já supera a hotelaria em unidades: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Região</w:t>
            </w:r>
          </w:p>
        </w:tc>
        <w:tc>
          <w:tcPr>
            <w:tcW w:type="dxa" w:w="1958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Hotéis</w:t>
            </w:r>
          </w:p>
        </w:tc>
        <w:tc>
          <w:tcPr>
            <w:tcW w:type="dxa" w:w="1958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UHs</w:t>
            </w:r>
          </w:p>
        </w:tc>
        <w:tc>
          <w:tcPr>
            <w:tcW w:type="dxa" w:w="1958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Imóveis temporada*</w:t>
            </w:r>
          </w:p>
        </w:tc>
        <w:tc>
          <w:tcPr>
            <w:tcW w:type="dxa" w:w="1958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Temp ÷ UHs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Ipanema / Leblon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1.372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4.278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3,1×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Leme / Copacabana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87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10.970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11.066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1,0×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Centro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71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5.940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4.572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0,8×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São Conrado / Barra / Recreio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44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8.390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3.666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0,4×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Flamengo / Botafogo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66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4.972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2.046</w:t>
            </w:r>
          </w:p>
        </w:tc>
        <w:tc>
          <w:tcPr>
            <w:tcW w:type="dxa" w:w="1958"/>
          </w:tcPr>
          <w:p>
            <w:r/>
            <w:r>
              <w:rPr>
                <w:b w:val="0"/>
                <w:sz w:val="20"/>
              </w:rPr>
              <w:t>0,4×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sz w:val="20"/>
              </w:rPr>
              <w:t>Cidade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20"/>
              </w:rPr>
              <w:t>286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20"/>
              </w:rPr>
              <w:t>31.644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20"/>
              </w:rPr>
              <w:t>29.482</w:t>
            </w:r>
          </w:p>
        </w:tc>
        <w:tc>
          <w:tcPr>
            <w:tcW w:type="dxa" w:w="1958"/>
          </w:tcPr>
          <w:p>
            <w:r/>
            <w:r>
              <w:rPr>
                <w:b/>
                <w:sz w:val="20"/>
              </w:rPr>
              <w:t>0,9×</w:t>
            </w:r>
          </w:p>
        </w:tc>
      </w:tr>
    </w:tbl>
    <w:p>
      <w:pPr>
        <w:spacing w:after="120"/>
      </w:pPr>
      <w:r>
        <w:rPr>
          <w:b w:val="0"/>
          <w:color w:val="5B6B85"/>
          <w:sz w:val="18"/>
        </w:rPr>
        <w:t>*Média mensal de imóveis com reservas em 2025.</w:t>
      </w:r>
    </w:p>
    <w:p>
      <w:pPr>
        <w:spacing w:after="120"/>
      </w:pPr>
      <w:r>
        <w:rPr>
          <w:b/>
          <w:sz w:val="21"/>
        </w:rPr>
        <w:t>2.3 Disputa agressiva nos picos.</w:t>
      </w:r>
      <w:r>
        <w:rPr>
          <w:b w:val="0"/>
          <w:sz w:val="21"/>
        </w:rPr>
        <w:t xml:space="preserve"> Nos eventos de melhor margem (Réveillon, Carnaval, verão), a temporada pratica suas diárias mais altas: de ~R$ 500 (dez) para </w:t>
      </w:r>
      <w:r>
        <w:rPr>
          <w:b/>
          <w:sz w:val="21"/>
        </w:rPr>
        <w:t>R$ 613 em fev/2026</w:t>
      </w:r>
      <w:r>
        <w:rPr>
          <w:b w:val="0"/>
          <w:sz w:val="21"/>
        </w:rPr>
        <w:t>, contra ~R$ 375 na baixa estação — reduzindo a escassez que sustentaria tarifas hoteleiras maiores nessas datas.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3. Impactos positivos e fatores de resiliência</w:t>
      </w:r>
    </w:p>
    <w:p>
      <w:pPr>
        <w:spacing w:after="120"/>
      </w:pPr>
      <w:r>
        <w:rPr>
          <w:b/>
          <w:sz w:val="21"/>
        </w:rPr>
        <w:t>3.1 Sem canibalização agregada.</w:t>
      </w:r>
      <w:r>
        <w:rPr>
          <w:b w:val="0"/>
          <w:sz w:val="21"/>
        </w:rPr>
        <w:t xml:space="preserve"> Apesar do salto de 74% na oferta de temporada, a ocupação dos hotéis subiu e a vantagem quase dobrou: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Ocupação média</w:t>
            </w:r>
          </w:p>
        </w:tc>
        <w:tc>
          <w:tcPr>
            <w:tcW w:type="dxa" w:w="2448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2023</w:t>
            </w:r>
          </w:p>
        </w:tc>
        <w:tc>
          <w:tcPr>
            <w:tcW w:type="dxa" w:w="2448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2024</w:t>
            </w:r>
          </w:p>
        </w:tc>
        <w:tc>
          <w:tcPr>
            <w:tcW w:type="dxa" w:w="2448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2025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Hotéis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71,1%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73,2%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77,7%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Temporada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61,2%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56,9%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60,1%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Vantagem da hotelaria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+9,9 pp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+16,3 pp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+17,6 pp</w:t>
            </w:r>
          </w:p>
        </w:tc>
      </w:tr>
    </w:tbl>
    <w:p>
      <w:pPr>
        <w:spacing w:after="120"/>
      </w:pPr>
      <w:r>
        <w:rPr>
          <w:b w:val="0"/>
          <w:sz w:val="21"/>
        </w:rPr>
        <w:t xml:space="preserve">Leitura: </w:t>
      </w:r>
      <w:r>
        <w:rPr>
          <w:b/>
          <w:sz w:val="21"/>
        </w:rPr>
        <w:t>expansão da demanda total</w:t>
      </w:r>
      <w:r>
        <w:rPr>
          <w:b w:val="0"/>
          <w:sz w:val="21"/>
        </w:rPr>
        <w:t xml:space="preserve"> pelo destino, absorvida pelas duas modalidades — não transferência de hóspedes.</w:t>
      </w:r>
    </w:p>
    <w:p>
      <w:pPr>
        <w:spacing w:after="120"/>
      </w:pPr>
      <w:r>
        <w:rPr>
          <w:b/>
          <w:sz w:val="21"/>
        </w:rPr>
        <w:t>3.2 Hotelaria ocupa mais e com mais estabilidade</w:t>
      </w:r>
      <w:r>
        <w:rPr>
          <w:b w:val="0"/>
          <w:sz w:val="21"/>
        </w:rPr>
        <w:t xml:space="preserve"> (amplitude sazonal de 19 pontos em 2025, contra 26 da temporada): demanda corporativa e de eventos, padronização, segurança e previsibilidade.</w:t>
      </w:r>
    </w:p>
    <w:p>
      <w:pPr>
        <w:spacing w:after="120"/>
      </w:pPr>
      <w:r>
        <w:rPr>
          <w:b/>
          <w:sz w:val="21"/>
        </w:rPr>
        <w:t>3.3 Absorção de excedente em megaeventos</w:t>
      </w:r>
      <w:r>
        <w:rPr>
          <w:b w:val="0"/>
          <w:sz w:val="21"/>
        </w:rPr>
        <w:t xml:space="preserve"> protege o destino, evitando que o Rio “venda esgotado”.</w:t>
      </w:r>
    </w:p>
    <w:p>
      <w:pPr>
        <w:spacing w:after="120"/>
      </w:pPr>
      <w:r>
        <w:rPr>
          <w:b/>
          <w:sz w:val="21"/>
        </w:rPr>
        <w:t>3.4 Validação de diárias mais altas</w:t>
      </w:r>
      <w:r>
        <w:rPr>
          <w:b w:val="0"/>
          <w:sz w:val="21"/>
        </w:rPr>
        <w:t xml:space="preserve"> (ADR de R$ 361 para R$ 438; RevPAR de R$ 221 para R$ 264), o que ancora para cima a percepção de preço da cidade.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4. Leitura por região (síntese)</w:t>
      </w:r>
    </w:p>
    <w:p>
      <w:pPr>
        <w:pStyle w:val="ListBullet"/>
        <w:spacing w:after="60"/>
      </w:pPr>
      <w:r>
        <w:rPr>
          <w:b/>
          <w:sz w:val="21"/>
        </w:rPr>
        <w:t>Ipanema / Leblon</w:t>
      </w:r>
      <w:r>
        <w:rPr>
          <w:b w:val="0"/>
          <w:sz w:val="21"/>
        </w:rPr>
        <w:t xml:space="preserve"> — maior pressão: temporada 3× os quartos de hotel; competir por diferenciação, não preço.</w:t>
      </w:r>
    </w:p>
    <w:p>
      <w:pPr>
        <w:pStyle w:val="ListBullet"/>
        <w:spacing w:after="60"/>
      </w:pPr>
      <w:r>
        <w:rPr>
          <w:b/>
          <w:sz w:val="21"/>
        </w:rPr>
        <w:t>Leme / Copacabana</w:t>
      </w:r>
      <w:r>
        <w:rPr>
          <w:b w:val="0"/>
          <w:sz w:val="21"/>
        </w:rPr>
        <w:t xml:space="preserve"> — equilíbrio (1:1) e maior volume absoluto; mercado mais disputado em receita.</w:t>
      </w:r>
    </w:p>
    <w:p>
      <w:pPr>
        <w:pStyle w:val="ListBullet"/>
        <w:spacing w:after="60"/>
      </w:pPr>
      <w:r>
        <w:rPr>
          <w:b/>
          <w:sz w:val="21"/>
        </w:rPr>
        <w:t>Centro</w:t>
      </w:r>
      <w:r>
        <w:rPr>
          <w:b w:val="0"/>
          <w:sz w:val="21"/>
        </w:rPr>
        <w:t xml:space="preserve"> — hotelaria predominante (perfil corporativo); temporada mais frágil na baixa.</w:t>
      </w:r>
    </w:p>
    <w:p>
      <w:pPr>
        <w:pStyle w:val="ListBullet"/>
        <w:spacing w:after="60"/>
      </w:pPr>
      <w:r>
        <w:rPr>
          <w:b/>
          <w:sz w:val="21"/>
        </w:rPr>
        <w:t>Barra/Recreio/São Conrado</w:t>
      </w:r>
      <w:r>
        <w:rPr>
          <w:b w:val="0"/>
          <w:sz w:val="21"/>
        </w:rPr>
        <w:t xml:space="preserve"> e </w:t>
      </w:r>
      <w:r>
        <w:rPr>
          <w:b/>
          <w:sz w:val="21"/>
        </w:rPr>
        <w:t>Flamengo/Botafogo</w:t>
      </w:r>
      <w:r>
        <w:rPr>
          <w:b w:val="0"/>
          <w:sz w:val="21"/>
        </w:rPr>
        <w:t xml:space="preserve"> — hotelaria dominante (~0,4×); menor exposição.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5. Conclusão e recomendações</w:t>
      </w:r>
    </w:p>
    <w:p>
      <w:pPr>
        <w:spacing w:after="120"/>
      </w:pPr>
      <w:r>
        <w:rPr>
          <w:b w:val="0"/>
          <w:sz w:val="21"/>
        </w:rPr>
        <w:t>O aluguel de temporada é, ao mesmo tempo, concorrente relevante e componente da capacidade turística. No triênio, não comprimiu a ocupação hoteleira, mas pressiona margens em segmentos e datas e avança com menor regulação. Recomenda-se:</w:t>
      </w:r>
    </w:p>
    <w:p>
      <w:pPr>
        <w:pStyle w:val="ListBullet"/>
        <w:spacing w:after="60"/>
      </w:pPr>
      <w:r>
        <w:rPr>
          <w:b/>
          <w:sz w:val="21"/>
        </w:rPr>
        <w:t>Atuação institucional</w:t>
      </w:r>
      <w:r>
        <w:rPr>
          <w:b w:val="0"/>
          <w:sz w:val="21"/>
        </w:rPr>
        <w:t xml:space="preserve"> por isonomia regulatória e tributária, sustentada por estes indicadores.</w:t>
      </w:r>
    </w:p>
    <w:p>
      <w:pPr>
        <w:pStyle w:val="ListBullet"/>
        <w:spacing w:after="60"/>
      </w:pPr>
      <w:r>
        <w:rPr>
          <w:b/>
          <w:sz w:val="21"/>
        </w:rPr>
        <w:t>Estratégia comercial por região e sazonalidade</w:t>
      </w:r>
      <w:r>
        <w:rPr>
          <w:b w:val="0"/>
          <w:sz w:val="21"/>
        </w:rPr>
        <w:t>: defender diária nos picos; reforçar corporativo/eventos na baixa.</w:t>
      </w:r>
    </w:p>
    <w:p>
      <w:pPr>
        <w:pStyle w:val="ListBullet"/>
        <w:spacing w:after="60"/>
      </w:pPr>
      <w:r>
        <w:rPr>
          <w:b/>
          <w:sz w:val="21"/>
        </w:rPr>
        <w:t>Monitoramento contínuo</w:t>
      </w:r>
      <w:r>
        <w:rPr>
          <w:b w:val="0"/>
          <w:sz w:val="21"/>
        </w:rPr>
        <w:t xml:space="preserve"> da relação imóveis ÷ UHs e do diferencial de ocupação por bairro, via painel interativo.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6. Metodologia e limitações</w:t>
      </w:r>
    </w:p>
    <w:p>
      <w:pPr>
        <w:pStyle w:val="ListBullet"/>
        <w:spacing w:after="60"/>
      </w:pPr>
      <w:r>
        <w:rPr>
          <w:b/>
          <w:sz w:val="21"/>
        </w:rPr>
        <w:t>Fontes:</w:t>
      </w:r>
      <w:r>
        <w:rPr>
          <w:b w:val="0"/>
          <w:sz w:val="21"/>
        </w:rPr>
        <w:t xml:space="preserve"> ocupação HotéisRIO (5 regiões, mensal); desempenho da temporada do AirDNA (20 bairros, ponderados por nº de imóveis).</w:t>
      </w:r>
    </w:p>
    <w:p>
      <w:pPr>
        <w:pStyle w:val="ListBullet"/>
        <w:spacing w:after="60"/>
      </w:pPr>
      <w:r>
        <w:rPr>
          <w:b/>
          <w:sz w:val="21"/>
        </w:rPr>
        <w:t>Período:</w:t>
      </w:r>
      <w:r>
        <w:rPr>
          <w:b w:val="0"/>
          <w:sz w:val="21"/>
        </w:rPr>
        <w:t xml:space="preserve"> dados de temporada a partir de maio/2023.</w:t>
      </w:r>
    </w:p>
    <w:p>
      <w:pPr>
        <w:pStyle w:val="ListBullet"/>
        <w:spacing w:after="60"/>
      </w:pPr>
      <w:r>
        <w:rPr>
          <w:b/>
          <w:sz w:val="21"/>
        </w:rPr>
        <w:t>Inventário não comparável:</w:t>
      </w:r>
      <w:r>
        <w:rPr>
          <w:b w:val="0"/>
          <w:sz w:val="21"/>
        </w:rPr>
        <w:t xml:space="preserve"> hotel conta </w:t>
      </w:r>
      <w:r>
        <w:rPr>
          <w:b/>
          <w:sz w:val="21"/>
        </w:rPr>
        <w:t>quartos (UHs duplos)</w:t>
      </w:r>
      <w:r>
        <w:rPr>
          <w:b w:val="0"/>
          <w:sz w:val="21"/>
        </w:rPr>
        <w:t xml:space="preserve">; temporada conta </w:t>
      </w:r>
      <w:r>
        <w:rPr>
          <w:b/>
          <w:sz w:val="21"/>
        </w:rPr>
        <w:t>imóveis</w:t>
      </w:r>
      <w:r>
        <w:rPr>
          <w:b w:val="0"/>
          <w:sz w:val="21"/>
        </w:rPr>
        <w:t xml:space="preserve"> (Airbnb pode ter +6 quartos). O nº de imóveis refere-se aos com reservas no mês.</w:t>
      </w:r>
    </w:p>
    <w:p>
      <w:pPr>
        <w:pStyle w:val="ListBullet"/>
        <w:spacing w:after="60"/>
      </w:pPr>
      <w:r>
        <w:rPr>
          <w:b/>
          <w:sz w:val="21"/>
        </w:rPr>
        <w:t>A hotelaria não coleta diária/RevPAR</w:t>
      </w:r>
      <w:r>
        <w:rPr>
          <w:b w:val="0"/>
          <w:sz w:val="21"/>
        </w:rPr>
        <w:t xml:space="preserve"> nesta base — comparação de preço/receita restrita à temporada.</w:t>
      </w:r>
    </w:p>
    <w:p>
      <w:pPr>
        <w:pStyle w:val="ListBullet"/>
        <w:spacing w:after="60"/>
      </w:pPr>
      <w:r>
        <w:rPr>
          <w:b/>
          <w:sz w:val="21"/>
        </w:rPr>
        <w:t>Causalidade:</w:t>
      </w:r>
      <w:r>
        <w:rPr>
          <w:b w:val="0"/>
          <w:sz w:val="21"/>
        </w:rPr>
        <w:t xml:space="preserve"> correlação não prova causa; fatores externos (retomada pós-pandemia, câmbio, eventos) influenciam as duas modalidades.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