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CA7" w:rsidRDefault="005D3CA7" w:rsidP="005D3CA7">
      <w:pPr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OPEN GOVERNMENT PROJECT.</w:t>
      </w:r>
    </w:p>
    <w:p w:rsidR="005D3CA7" w:rsidRDefault="005D3CA7" w:rsidP="005D3CA7">
      <w:pPr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YOUTH ACCOUNTABILITY FORUM</w:t>
      </w:r>
    </w:p>
    <w:p w:rsidR="005D3CA7" w:rsidRDefault="005D3CA7" w:rsidP="005D3CA7">
      <w:pPr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</w:p>
    <w:p w:rsidR="005D3CA7" w:rsidRDefault="005D3CA7" w:rsidP="005D3CA7">
      <w:pPr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</w:p>
    <w:p w:rsidR="005D3CA7" w:rsidRDefault="005D3CA7" w:rsidP="005D3CA7">
      <w:pPr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 w:rsidRPr="005D3CA7">
        <w:rPr>
          <w:rFonts w:ascii="Helvetica" w:hAnsi="Helvetica"/>
          <w:b/>
          <w:color w:val="222222"/>
          <w:sz w:val="21"/>
          <w:szCs w:val="21"/>
          <w:u w:val="single"/>
          <w:shd w:val="clear" w:color="auto" w:fill="FFFFFF"/>
        </w:rPr>
        <w:t>Activity Title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: YOUTH ACCOUNTABILITY FORUM/ ONLINE PLATFORM</w:t>
      </w:r>
      <w:r>
        <w:rPr>
          <w:rFonts w:ascii="Helvetica" w:hAnsi="Helvetica"/>
          <w:color w:val="222222"/>
          <w:sz w:val="21"/>
          <w:szCs w:val="21"/>
        </w:rPr>
        <w:br/>
      </w:r>
      <w:r w:rsidRPr="005D3CA7">
        <w:rPr>
          <w:rFonts w:ascii="Helvetica" w:hAnsi="Helvetica"/>
          <w:b/>
          <w:color w:val="222222"/>
          <w:sz w:val="21"/>
          <w:szCs w:val="21"/>
          <w:u w:val="single"/>
          <w:shd w:val="clear" w:color="auto" w:fill="FFFFFF"/>
        </w:rPr>
        <w:t>Main Objective: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</w:t>
      </w:r>
    </w:p>
    <w:p w:rsidR="005D3CA7" w:rsidRDefault="005D3CA7" w:rsidP="005D3CA7">
      <w:pPr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The main objective of this activity is to promote civic participation of a specific target of population – the youth - to enhance their capacity to promote government transparency and accountability through civic engagement. </w:t>
      </w:r>
      <w:r>
        <w:rPr>
          <w:rFonts w:ascii="Helvetica" w:hAnsi="Helvetica"/>
          <w:color w:val="222222"/>
          <w:sz w:val="21"/>
          <w:szCs w:val="21"/>
        </w:rPr>
        <w:br/>
      </w:r>
      <w:r w:rsidRPr="005D3CA7">
        <w:rPr>
          <w:rFonts w:ascii="Helvetica" w:hAnsi="Helvetica"/>
          <w:b/>
          <w:color w:val="222222"/>
          <w:sz w:val="21"/>
          <w:szCs w:val="21"/>
          <w:u w:val="single"/>
          <w:shd w:val="clear" w:color="auto" w:fill="FFFFFF"/>
        </w:rPr>
        <w:t>Main Actors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: </w:t>
      </w:r>
    </w:p>
    <w:p w:rsidR="005D3CA7" w:rsidRDefault="005D3CA7" w:rsidP="005D3CA7">
      <w:pPr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The primary actors are the selected youth </w:t>
      </w:r>
      <w:r w:rsidR="00C73CC8">
        <w:rPr>
          <w:rFonts w:ascii="Helvetica" w:hAnsi="Helvetica"/>
          <w:color w:val="222222"/>
          <w:sz w:val="21"/>
          <w:szCs w:val="21"/>
          <w:shd w:val="clear" w:color="auto" w:fill="FFFFFF"/>
        </w:rPr>
        <w:t>organizations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, the civil society networks, the government institutions in the state or locality.</w:t>
      </w:r>
    </w:p>
    <w:p w:rsidR="005D3CA7" w:rsidRDefault="005D3CA7" w:rsidP="005D3CA7">
      <w:pPr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 w:rsidRPr="005D3CA7">
        <w:rPr>
          <w:rFonts w:ascii="Helvetica" w:hAnsi="Helvetica"/>
          <w:b/>
          <w:color w:val="222222"/>
          <w:sz w:val="21"/>
          <w:szCs w:val="21"/>
          <w:u w:val="single"/>
          <w:shd w:val="clear" w:color="auto" w:fill="FFFFFF"/>
        </w:rPr>
        <w:t>Main Technology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: </w:t>
      </w:r>
    </w:p>
    <w:p w:rsidR="005D3CA7" w:rsidRDefault="005D3CA7" w:rsidP="005D3CA7">
      <w:pPr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The main technology utilized is an online/internet portal through which information is released</w:t>
      </w:r>
      <w:r w:rsidR="00C73CC8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, awareness is created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and </w:t>
      </w:r>
      <w:r w:rsidR="00C73CC8">
        <w:rPr>
          <w:rFonts w:ascii="Helvetica" w:hAnsi="Helvetica"/>
          <w:color w:val="222222"/>
          <w:sz w:val="21"/>
          <w:szCs w:val="21"/>
          <w:shd w:val="clear" w:color="auto" w:fill="FFFFFF"/>
        </w:rPr>
        <w:t>the youth mobilized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.</w:t>
      </w:r>
      <w:r>
        <w:rPr>
          <w:rFonts w:ascii="Helvetica" w:hAnsi="Helvetica"/>
          <w:color w:val="222222"/>
          <w:sz w:val="21"/>
          <w:szCs w:val="21"/>
        </w:rPr>
        <w:br/>
      </w:r>
      <w:r w:rsidRPr="005D3CA7">
        <w:rPr>
          <w:rFonts w:ascii="Helvetica" w:hAnsi="Helvetica"/>
          <w:b/>
          <w:color w:val="222222"/>
          <w:sz w:val="21"/>
          <w:szCs w:val="21"/>
          <w:u w:val="single"/>
          <w:shd w:val="clear" w:color="auto" w:fill="FFFFFF"/>
        </w:rPr>
        <w:t>Geographical Coverage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: </w:t>
      </w:r>
    </w:p>
    <w:p w:rsidR="005D3CA7" w:rsidRDefault="005D3CA7" w:rsidP="005D3CA7">
      <w:pPr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This activity relates to a sub-national coverage and mainly three zones </w:t>
      </w:r>
      <w:r w:rsidR="00217A65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of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a state.</w:t>
      </w:r>
      <w:r>
        <w:rPr>
          <w:rFonts w:ascii="Helvetica" w:hAnsi="Helvetica"/>
          <w:color w:val="222222"/>
          <w:sz w:val="21"/>
          <w:szCs w:val="21"/>
        </w:rPr>
        <w:br/>
      </w:r>
      <w:r w:rsidRPr="005D3CA7">
        <w:rPr>
          <w:rFonts w:ascii="Helvetica" w:hAnsi="Helvetica"/>
          <w:b/>
          <w:color w:val="222222"/>
          <w:sz w:val="21"/>
          <w:szCs w:val="21"/>
          <w:u w:val="single"/>
          <w:shd w:val="clear" w:color="auto" w:fill="FFFFFF"/>
        </w:rPr>
        <w:t>Main Benefits: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 </w:t>
      </w:r>
    </w:p>
    <w:p w:rsidR="005D3CA7" w:rsidRDefault="005D3CA7" w:rsidP="005D3CA7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It improves knowledge of open government and promotes digital knowledge among the youth </w:t>
      </w:r>
    </w:p>
    <w:p w:rsidR="005D3CA7" w:rsidRPr="005D3CA7" w:rsidRDefault="00217A65" w:rsidP="005D3CA7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>It</w:t>
      </w:r>
      <w:r w:rsidR="005D3CA7"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promote</w:t>
      </w:r>
      <w:r w:rsid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s the </w:t>
      </w:r>
      <w:r w:rsidR="005D3CA7"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use of </w:t>
      </w:r>
      <w:r w:rsid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>informatio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n by participating youth organiz</w:t>
      </w:r>
      <w:r w:rsid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ations </w:t>
      </w:r>
      <w:r w:rsidR="005D3CA7"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>for the development of civic awareness and engagement of local communities in monitoring the effectiveness of public investment. </w:t>
      </w:r>
    </w:p>
    <w:p w:rsidR="00E70D83" w:rsidRDefault="005D3CA7" w:rsidP="005D3CA7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>It t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eaches </w:t>
      </w:r>
      <w:r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innovative and interdisciplinary skills that help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the youth to </w:t>
      </w:r>
      <w:r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>focus on public policies, citizen monitoring and citizen participation</w:t>
      </w:r>
      <w:r w:rsidR="00E70D83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in governance.</w:t>
      </w:r>
    </w:p>
    <w:p w:rsidR="00E70D83" w:rsidRPr="00E70D83" w:rsidRDefault="005D3CA7" w:rsidP="005D3CA7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>It provide</w:t>
      </w:r>
      <w:r w:rsidR="00E70D83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s </w:t>
      </w:r>
      <w:r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an opportunity for the </w:t>
      </w:r>
      <w:r w:rsidR="00E70D83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youth </w:t>
      </w:r>
      <w:r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>to hold an “</w:t>
      </w:r>
      <w:r w:rsidR="00E70D83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accountability forum” where they </w:t>
      </w:r>
      <w:r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>interact with the local communities, political leaders and administrators r</w:t>
      </w:r>
      <w:r w:rsidR="00E70D83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esponsible for implementing public sector </w:t>
      </w:r>
      <w:r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>projects, asking questions and suggesting solutions.</w:t>
      </w:r>
    </w:p>
    <w:p w:rsidR="00E70D83" w:rsidRDefault="00E70D83" w:rsidP="005D3CA7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It increases</w:t>
      </w:r>
      <w:r w:rsidR="005D3CA7"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the quantity and quality of information provided about project results and </w:t>
      </w:r>
      <w:r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>strengthens</w:t>
      </w:r>
      <w:r w:rsidR="005D3CA7"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public </w:t>
      </w:r>
      <w:r w:rsidR="005D3CA7"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>participation and collaboration.</w:t>
      </w:r>
      <w:r w:rsidR="005D3CA7" w:rsidRPr="005D3CA7">
        <w:rPr>
          <w:rFonts w:ascii="Helvetica" w:hAnsi="Helvetica"/>
          <w:color w:val="222222"/>
          <w:sz w:val="21"/>
          <w:szCs w:val="21"/>
        </w:rPr>
        <w:br/>
      </w:r>
      <w:r w:rsidR="005D3CA7" w:rsidRPr="00E70D83">
        <w:rPr>
          <w:rFonts w:ascii="Helvetica" w:hAnsi="Helvetica"/>
          <w:b/>
          <w:color w:val="222222"/>
          <w:sz w:val="21"/>
          <w:szCs w:val="21"/>
          <w:u w:val="single"/>
          <w:shd w:val="clear" w:color="auto" w:fill="FFFFFF"/>
        </w:rPr>
        <w:t>Main Barriers:</w:t>
      </w:r>
      <w:r w:rsidR="005D3CA7"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</w:t>
      </w:r>
    </w:p>
    <w:p w:rsidR="00E70D83" w:rsidRDefault="00E70D83" w:rsidP="005D3CA7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Anticipated </w:t>
      </w:r>
      <w:r w:rsidR="005D3CA7"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>barriers are on both the side of the d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ivide – capacity </w:t>
      </w:r>
      <w:r w:rsidR="00217A65">
        <w:rPr>
          <w:rFonts w:ascii="Helvetica" w:hAnsi="Helvetica"/>
          <w:color w:val="222222"/>
          <w:sz w:val="21"/>
          <w:szCs w:val="21"/>
          <w:shd w:val="clear" w:color="auto" w:fill="FFFFFF"/>
        </w:rPr>
        <w:t>of the youth organiz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ations to organize and gather relevant information and publicize same </w:t>
      </w:r>
      <w:r w:rsidR="005D3CA7"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and the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willingness of government officials to collaborate and provide adequate information </w:t>
      </w:r>
    </w:p>
    <w:p w:rsidR="00E70D83" w:rsidRDefault="00E70D83" w:rsidP="005D3CA7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Non-functional telecommunication service in some rural areas that may hamper the capacity of the target audience to access the online platform to upload or submit information or records.</w:t>
      </w:r>
    </w:p>
    <w:p w:rsidR="00E70D83" w:rsidRPr="00E70D83" w:rsidRDefault="00E70D83" w:rsidP="00E70D83">
      <w:pPr>
        <w:pStyle w:val="ListParagraph"/>
        <w:spacing w:after="0" w:line="240" w:lineRule="auto"/>
        <w:rPr>
          <w:rFonts w:ascii="Helvetica" w:hAnsi="Helvetica"/>
          <w:b/>
          <w:color w:val="222222"/>
          <w:sz w:val="21"/>
          <w:szCs w:val="21"/>
          <w:u w:val="single"/>
          <w:shd w:val="clear" w:color="auto" w:fill="FFFFFF"/>
        </w:rPr>
      </w:pPr>
      <w:r w:rsidRPr="00E70D83">
        <w:rPr>
          <w:rFonts w:ascii="Helvetica" w:hAnsi="Helvetica"/>
          <w:b/>
          <w:color w:val="222222"/>
          <w:sz w:val="21"/>
          <w:szCs w:val="21"/>
          <w:u w:val="single"/>
          <w:shd w:val="clear" w:color="auto" w:fill="FFFFFF"/>
        </w:rPr>
        <w:t>Mitigation of Barriers</w:t>
      </w:r>
    </w:p>
    <w:p w:rsidR="00E70D83" w:rsidRDefault="00E70D83" w:rsidP="00E70D83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Increased advocacy and solicitation of support from the OGP Secretariat to ensure continued support and directive to the government employees to collaborate from high level political leadership in the state.</w:t>
      </w:r>
    </w:p>
    <w:p w:rsidR="00E70D83" w:rsidRDefault="005D3CA7" w:rsidP="00E70D83">
      <w:pPr>
        <w:pStyle w:val="ListParagraph"/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 w:rsidRPr="00E70D83">
        <w:rPr>
          <w:rFonts w:ascii="Helvetica" w:hAnsi="Helvetica"/>
          <w:b/>
          <w:color w:val="222222"/>
          <w:sz w:val="21"/>
          <w:szCs w:val="21"/>
          <w:u w:val="single"/>
          <w:shd w:val="clear" w:color="auto" w:fill="FFFFFF"/>
        </w:rPr>
        <w:t>Critical Success Factor:</w:t>
      </w:r>
      <w:r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</w:t>
      </w:r>
    </w:p>
    <w:p w:rsidR="00E70D83" w:rsidRDefault="00E70D83" w:rsidP="00E70D83">
      <w:pPr>
        <w:pStyle w:val="ListParagraph"/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Regular </w:t>
      </w:r>
      <w:r w:rsidR="005D3CA7"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>visit to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key sites of</w:t>
      </w:r>
      <w:r w:rsidR="005D3CA7"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monitored projects and interview of the key players involved in the projects’ implementation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as well as the </w:t>
      </w:r>
      <w:r w:rsidR="005D3CA7"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>some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of the </w:t>
      </w:r>
      <w:r w:rsidR="005D3CA7"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>beneficiaries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of the project. </w:t>
      </w:r>
    </w:p>
    <w:p w:rsidR="000902DB" w:rsidRDefault="00E70D83" w:rsidP="00E70D83">
      <w:pPr>
        <w:pStyle w:val="ListParagraph"/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This will</w:t>
      </w:r>
      <w:r w:rsidR="005D3CA7"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galvanize the communities and increase the passion </w:t>
      </w:r>
      <w:r w:rsidR="000902DB">
        <w:rPr>
          <w:rFonts w:ascii="Helvetica" w:hAnsi="Helvetica"/>
          <w:color w:val="222222"/>
          <w:sz w:val="21"/>
          <w:szCs w:val="21"/>
          <w:shd w:val="clear" w:color="auto" w:fill="FFFFFF"/>
        </w:rPr>
        <w:t>to take ownership and protect the projects.</w:t>
      </w:r>
      <w:r w:rsidR="005D3CA7" w:rsidRPr="005D3CA7">
        <w:rPr>
          <w:rFonts w:ascii="Helvetica" w:hAnsi="Helvetica"/>
          <w:color w:val="222222"/>
          <w:sz w:val="21"/>
          <w:szCs w:val="21"/>
        </w:rPr>
        <w:br/>
      </w:r>
      <w:r w:rsidR="005D3CA7" w:rsidRPr="000902DB">
        <w:rPr>
          <w:rFonts w:ascii="Helvetica" w:hAnsi="Helvetica"/>
          <w:b/>
          <w:color w:val="222222"/>
          <w:sz w:val="21"/>
          <w:szCs w:val="21"/>
          <w:u w:val="single"/>
          <w:shd w:val="clear" w:color="auto" w:fill="FFFFFF"/>
        </w:rPr>
        <w:t>Contextual Factor:</w:t>
      </w:r>
      <w:r w:rsidR="005D3CA7"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</w:t>
      </w:r>
    </w:p>
    <w:p w:rsidR="000902DB" w:rsidRDefault="005D3CA7" w:rsidP="00E70D83">
      <w:pPr>
        <w:pStyle w:val="ListParagraph"/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>The</w:t>
      </w:r>
      <w:r w:rsidR="000902DB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re is a legacy </w:t>
      </w:r>
      <w:r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>a legacy of corruption</w:t>
      </w:r>
      <w:r w:rsidR="000902DB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, fraud, waste and abuse in project execution by the government. </w:t>
      </w:r>
    </w:p>
    <w:p w:rsidR="000902DB" w:rsidRDefault="000902DB" w:rsidP="00E70D83">
      <w:pPr>
        <w:pStyle w:val="ListParagraph"/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There is a high level of distrust by the communities against the government</w:t>
      </w:r>
    </w:p>
    <w:p w:rsidR="000902DB" w:rsidRDefault="000902DB" w:rsidP="00E70D83">
      <w:pPr>
        <w:pStyle w:val="ListParagraph"/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There is a teeming population of educated youth whose energy and zeal when properly channeled towards participation in open government activities would positively impact</w:t>
      </w:r>
      <w:r w:rsidR="005D3CA7" w:rsidRPr="005D3CA7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on infusing public trust, integrity and accountability in the governance process.</w:t>
      </w:r>
    </w:p>
    <w:p w:rsidR="00917C60" w:rsidRPr="005D3CA7" w:rsidRDefault="00917C60" w:rsidP="00E70D83">
      <w:pPr>
        <w:pStyle w:val="ListParagraph"/>
        <w:spacing w:after="0" w:line="240" w:lineRule="au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</w:p>
    <w:sectPr w:rsidR="00917C60" w:rsidRPr="005D3CA7" w:rsidSect="000902DB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F0FB4"/>
    <w:multiLevelType w:val="hybridMultilevel"/>
    <w:tmpl w:val="B22A77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CA7"/>
    <w:rsid w:val="000902DB"/>
    <w:rsid w:val="00126B79"/>
    <w:rsid w:val="00217A65"/>
    <w:rsid w:val="005D3CA7"/>
    <w:rsid w:val="00634EBD"/>
    <w:rsid w:val="00917C60"/>
    <w:rsid w:val="00C73CC8"/>
    <w:rsid w:val="00E7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330988-1F71-534E-BEE4-477DFD3F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Juliet Ume-Ezeoke</cp:lastModifiedBy>
  <cp:revision>2</cp:revision>
  <dcterms:created xsi:type="dcterms:W3CDTF">2018-06-22T01:03:00Z</dcterms:created>
  <dcterms:modified xsi:type="dcterms:W3CDTF">2018-06-22T01:03:00Z</dcterms:modified>
</cp:coreProperties>
</file>