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72AA" w14:textId="77777777" w:rsidR="00D776E7" w:rsidRDefault="00AA7CAB">
      <w:pPr>
        <w:pStyle w:val="Title"/>
        <w:spacing w:after="140"/>
        <w:jc w:val="center"/>
      </w:pPr>
      <w:r>
        <w:t>Campaign Brief: Northstar Aster EV Launch</w:t>
      </w:r>
    </w:p>
    <w:p w14:paraId="6A4172AB" w14:textId="77777777" w:rsidR="00D776E7" w:rsidRDefault="00AA7CAB">
      <w:pPr>
        <w:spacing w:after="140"/>
      </w:pPr>
      <w:r>
        <w:rPr>
          <w:i/>
          <w:iCs/>
        </w:rPr>
        <w:t>Classification: Public. This document uses fictional Microsoft Fake Company content created for demonstration purposes. Any resemblance to real organizations, products, people, services, or data is coincidental. Do not use customer confidential information.</w:t>
      </w:r>
    </w:p>
    <w:p w14:paraId="6A4172AC" w14:textId="77777777" w:rsidR="00D776E7" w:rsidRDefault="00AA7CAB">
      <w:pPr>
        <w:pStyle w:val="Heading1"/>
        <w:spacing w:after="140"/>
      </w:pPr>
      <w:r>
        <w:t>Campaign summary</w:t>
      </w:r>
    </w:p>
    <w:p w14:paraId="6A4172AD" w14:textId="77777777" w:rsidR="00D776E7" w:rsidRDefault="00AA7CAB">
      <w:pPr>
        <w:spacing w:after="140"/>
      </w:pPr>
      <w:r>
        <w:t>The Northstar Aster EV is a fictional new crossover designed for drivers who want a refined electric experience without needing to become experts in charging, range planning, or connected vehicle settings. The campaign introduces Aster as the calm, capable EV for busy households and commuters who want technology that earns its place in daily life.</w:t>
      </w:r>
    </w:p>
    <w:p w14:paraId="6A4172AE" w14:textId="77777777" w:rsidR="00D776E7" w:rsidRDefault="00AA7CAB">
      <w:pPr>
        <w:pStyle w:val="Heading1"/>
        <w:spacing w:after="140"/>
      </w:pPr>
      <w:r>
        <w:t>Campaign name</w:t>
      </w:r>
    </w:p>
    <w:p w14:paraId="6A4172AF" w14:textId="77777777" w:rsidR="00D776E7" w:rsidRDefault="00AA7CAB">
      <w:pPr>
        <w:spacing w:after="140"/>
      </w:pPr>
      <w:r>
        <w:rPr>
          <w:b/>
          <w:bCs/>
        </w:rPr>
        <w:t>Ready for What Moves You</w:t>
      </w:r>
    </w:p>
    <w:p w14:paraId="6A4172B0" w14:textId="77777777" w:rsidR="00D776E7" w:rsidRDefault="00AA7CAB">
      <w:pPr>
        <w:pStyle w:val="Heading1"/>
        <w:spacing w:after="140"/>
      </w:pPr>
      <w:r>
        <w:t>Business objective</w:t>
      </w:r>
    </w:p>
    <w:p w14:paraId="6A4172B1" w14:textId="77777777" w:rsidR="00D776E7" w:rsidRDefault="00AA7CAB">
      <w:pPr>
        <w:spacing w:after="140"/>
      </w:pPr>
      <w:r>
        <w:t xml:space="preserve">Generate qualified awareness and consideration for the fictional Northstar Aster EV ahead of a regional launch window. The campaign should increase hand-raisers, dealer appointments, configuration </w:t>
      </w:r>
      <w:proofErr w:type="gramStart"/>
      <w:r>
        <w:t>starts, and</w:t>
      </w:r>
      <w:proofErr w:type="gramEnd"/>
      <w:r>
        <w:t xml:space="preserve"> test-drive requests while reinforcing the broader Northstar Mobility brand promise.</w:t>
      </w:r>
    </w:p>
    <w:p w14:paraId="6A4172B2" w14:textId="77777777" w:rsidR="00D776E7" w:rsidRDefault="00AA7CAB">
      <w:pPr>
        <w:pStyle w:val="Heading1"/>
        <w:spacing w:after="140"/>
      </w:pPr>
      <w:r>
        <w:t>Target audience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2707"/>
        <w:gridCol w:w="2347"/>
        <w:gridCol w:w="2094"/>
      </w:tblGrid>
      <w:tr w:rsidR="00D776E7" w14:paraId="6A4172B7" w14:textId="77777777">
        <w:tblPrEx>
          <w:tblCellMar>
            <w:top w:w="0" w:type="dxa"/>
            <w:bottom w:w="0" w:type="dxa"/>
          </w:tblCellMar>
        </w:tblPrEx>
        <w:trPr>
          <w:tblHeader/>
        </w:trPr>
        <w:tc>
          <w:tcPr>
            <w:tcW w:w="0" w:type="auto"/>
            <w:shd w:val="clear" w:color="auto" w:fill="1F4E79"/>
          </w:tcPr>
          <w:p w14:paraId="6A4172B3" w14:textId="77777777" w:rsidR="00D776E7" w:rsidRDefault="00AA7CAB">
            <w:r>
              <w:rPr>
                <w:b/>
                <w:bCs/>
                <w:color w:val="FFFFFF"/>
              </w:rPr>
              <w:t>Audience</w:t>
            </w:r>
          </w:p>
        </w:tc>
        <w:tc>
          <w:tcPr>
            <w:tcW w:w="0" w:type="auto"/>
            <w:shd w:val="clear" w:color="auto" w:fill="1F4E79"/>
          </w:tcPr>
          <w:p w14:paraId="6A4172B4" w14:textId="77777777" w:rsidR="00D776E7" w:rsidRDefault="00AA7CAB">
            <w:r>
              <w:rPr>
                <w:b/>
                <w:bCs/>
                <w:color w:val="FFFFFF"/>
              </w:rPr>
              <w:t>Insight</w:t>
            </w:r>
          </w:p>
        </w:tc>
        <w:tc>
          <w:tcPr>
            <w:tcW w:w="0" w:type="auto"/>
            <w:shd w:val="clear" w:color="auto" w:fill="1F4E79"/>
          </w:tcPr>
          <w:p w14:paraId="6A4172B5" w14:textId="77777777" w:rsidR="00D776E7" w:rsidRDefault="00AA7CAB">
            <w:r>
              <w:rPr>
                <w:b/>
                <w:bCs/>
                <w:color w:val="FFFFFF"/>
              </w:rPr>
              <w:t>Barrier</w:t>
            </w:r>
          </w:p>
        </w:tc>
        <w:tc>
          <w:tcPr>
            <w:tcW w:w="0" w:type="auto"/>
            <w:shd w:val="clear" w:color="auto" w:fill="1F4E79"/>
          </w:tcPr>
          <w:p w14:paraId="6A4172B6" w14:textId="77777777" w:rsidR="00D776E7" w:rsidRDefault="00AA7CAB">
            <w:r>
              <w:rPr>
                <w:b/>
                <w:bCs/>
                <w:color w:val="FFFFFF"/>
              </w:rPr>
              <w:t>Message</w:t>
            </w:r>
          </w:p>
        </w:tc>
      </w:tr>
      <w:tr w:rsidR="00D776E7" w14:paraId="6A4172BC" w14:textId="77777777">
        <w:tblPrEx>
          <w:tblCellMar>
            <w:top w:w="0" w:type="dxa"/>
            <w:bottom w:w="0" w:type="dxa"/>
          </w:tblCellMar>
        </w:tblPrEx>
        <w:tc>
          <w:tcPr>
            <w:tcW w:w="0" w:type="auto"/>
          </w:tcPr>
          <w:p w14:paraId="6A4172B8" w14:textId="77777777" w:rsidR="00D776E7" w:rsidRDefault="00AA7CAB">
            <w:r>
              <w:t>EV-curious families</w:t>
            </w:r>
          </w:p>
        </w:tc>
        <w:tc>
          <w:tcPr>
            <w:tcW w:w="0" w:type="auto"/>
          </w:tcPr>
          <w:p w14:paraId="6A4172B9" w14:textId="77777777" w:rsidR="00D776E7" w:rsidRDefault="00AA7CAB">
            <w:r>
              <w:t>They like the idea of an EV but worry about routine complexity</w:t>
            </w:r>
          </w:p>
        </w:tc>
        <w:tc>
          <w:tcPr>
            <w:tcW w:w="0" w:type="auto"/>
          </w:tcPr>
          <w:p w14:paraId="6A4172BA" w14:textId="77777777" w:rsidR="00D776E7" w:rsidRDefault="00AA7CAB">
            <w:r>
              <w:t>Charging and range uncertainty</w:t>
            </w:r>
          </w:p>
        </w:tc>
        <w:tc>
          <w:tcPr>
            <w:tcW w:w="0" w:type="auto"/>
          </w:tcPr>
          <w:p w14:paraId="6A4172BB" w14:textId="77777777" w:rsidR="00D776E7" w:rsidRDefault="00AA7CAB">
            <w:r>
              <w:t>Aster helps plan the week, not just the drive</w:t>
            </w:r>
          </w:p>
        </w:tc>
      </w:tr>
      <w:tr w:rsidR="00D776E7" w14:paraId="6A4172C1" w14:textId="77777777">
        <w:tblPrEx>
          <w:tblCellMar>
            <w:top w:w="0" w:type="dxa"/>
            <w:bottom w:w="0" w:type="dxa"/>
          </w:tblCellMar>
        </w:tblPrEx>
        <w:tc>
          <w:tcPr>
            <w:tcW w:w="0" w:type="auto"/>
          </w:tcPr>
          <w:p w14:paraId="6A4172BD" w14:textId="77777777" w:rsidR="00D776E7" w:rsidRDefault="00AA7CAB">
            <w:r>
              <w:t>Urban and suburban commuters</w:t>
            </w:r>
          </w:p>
        </w:tc>
        <w:tc>
          <w:tcPr>
            <w:tcW w:w="0" w:type="auto"/>
          </w:tcPr>
          <w:p w14:paraId="6A4172BE" w14:textId="77777777" w:rsidR="00D776E7" w:rsidRDefault="00AA7CAB">
            <w:r>
              <w:t>They value technology when it saves time</w:t>
            </w:r>
          </w:p>
        </w:tc>
        <w:tc>
          <w:tcPr>
            <w:tcW w:w="0" w:type="auto"/>
          </w:tcPr>
          <w:p w14:paraId="6A4172BF" w14:textId="77777777" w:rsidR="00D776E7" w:rsidRDefault="00AA7CAB">
            <w:r>
              <w:t>Feature overload</w:t>
            </w:r>
          </w:p>
        </w:tc>
        <w:tc>
          <w:tcPr>
            <w:tcW w:w="0" w:type="auto"/>
          </w:tcPr>
          <w:p w14:paraId="6A4172C0" w14:textId="77777777" w:rsidR="00D776E7" w:rsidRDefault="00AA7CAB">
            <w:r>
              <w:t>Useful intelligence, presented simply</w:t>
            </w:r>
          </w:p>
        </w:tc>
      </w:tr>
      <w:tr w:rsidR="00D776E7" w14:paraId="6A4172C6" w14:textId="77777777">
        <w:tblPrEx>
          <w:tblCellMar>
            <w:top w:w="0" w:type="dxa"/>
            <w:bottom w:w="0" w:type="dxa"/>
          </w:tblCellMar>
        </w:tblPrEx>
        <w:tc>
          <w:tcPr>
            <w:tcW w:w="0" w:type="auto"/>
          </w:tcPr>
          <w:p w14:paraId="6A4172C2" w14:textId="77777777" w:rsidR="00D776E7" w:rsidRDefault="00AA7CAB">
            <w:r>
              <w:t>Design-conscious professionals</w:t>
            </w:r>
          </w:p>
        </w:tc>
        <w:tc>
          <w:tcPr>
            <w:tcW w:w="0" w:type="auto"/>
          </w:tcPr>
          <w:p w14:paraId="6A4172C3" w14:textId="77777777" w:rsidR="00D776E7" w:rsidRDefault="00AA7CAB">
            <w:r>
              <w:t>They want modern design without impracticality</w:t>
            </w:r>
          </w:p>
        </w:tc>
        <w:tc>
          <w:tcPr>
            <w:tcW w:w="0" w:type="auto"/>
          </w:tcPr>
          <w:p w14:paraId="6A4172C4" w14:textId="77777777" w:rsidR="00D776E7" w:rsidRDefault="00AA7CAB">
            <w:r>
              <w:t>Concern that EVs are either too niche or too expensive</w:t>
            </w:r>
          </w:p>
        </w:tc>
        <w:tc>
          <w:tcPr>
            <w:tcW w:w="0" w:type="auto"/>
          </w:tcPr>
          <w:p w14:paraId="6A4172C5" w14:textId="77777777" w:rsidR="00D776E7" w:rsidRDefault="00AA7CAB">
            <w:r>
              <w:t>Premium calm, everyday practicality</w:t>
            </w:r>
          </w:p>
        </w:tc>
      </w:tr>
    </w:tbl>
    <w:p w14:paraId="6A4172C7" w14:textId="77777777" w:rsidR="00D776E7" w:rsidRDefault="00AA7CAB">
      <w:pPr>
        <w:pStyle w:val="Heading1"/>
        <w:spacing w:after="140"/>
      </w:pPr>
      <w:r>
        <w:t>Positioning statement</w:t>
      </w:r>
    </w:p>
    <w:p w14:paraId="6A4172C8" w14:textId="77777777" w:rsidR="00D776E7" w:rsidRDefault="00AA7CAB">
      <w:pPr>
        <w:spacing w:after="140"/>
      </w:pPr>
      <w:r>
        <w:t>For drivers who want an EV that supports real routines, Northstar Aster EV is the connected crossover that makes electric driving feel clear, calm, and ready because it combines intuitive range planning, flexible design, and practical driver support in a refined everyday package.</w:t>
      </w:r>
    </w:p>
    <w:p w14:paraId="6A4172C9" w14:textId="77777777" w:rsidR="00D776E7" w:rsidRDefault="00AA7CAB">
      <w:pPr>
        <w:pStyle w:val="Heading1"/>
        <w:spacing w:after="140"/>
      </w:pPr>
      <w:r>
        <w:t>Creative platform</w:t>
      </w:r>
    </w:p>
    <w:p w14:paraId="6A4172CA" w14:textId="77777777" w:rsidR="00D776E7" w:rsidRDefault="00AA7CAB">
      <w:pPr>
        <w:spacing w:after="140"/>
      </w:pPr>
      <w:r>
        <w:t>The creative should show Aster in transitional moments: leaving before sunrise, navigating weather, coordinating family schedules, finding a charging stop near a favorite cafe, and packing for a weekend away. The tone should be warm, confident, and modern. The vehicle should be presented as a helpful companion, not a futuristic gadget.</w:t>
      </w:r>
    </w:p>
    <w:p w14:paraId="6A4172CB" w14:textId="77777777" w:rsidR="00D776E7" w:rsidRDefault="00AA7CAB">
      <w:pPr>
        <w:pStyle w:val="Heading1"/>
        <w:spacing w:after="140"/>
      </w:pPr>
      <w:r>
        <w:t>Launch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041"/>
        <w:gridCol w:w="2917"/>
        <w:gridCol w:w="4170"/>
      </w:tblGrid>
      <w:tr w:rsidR="00D776E7" w14:paraId="6A4172D0" w14:textId="77777777">
        <w:tblPrEx>
          <w:tblCellMar>
            <w:top w:w="0" w:type="dxa"/>
            <w:bottom w:w="0" w:type="dxa"/>
          </w:tblCellMar>
        </w:tblPrEx>
        <w:trPr>
          <w:tblHeader/>
        </w:trPr>
        <w:tc>
          <w:tcPr>
            <w:tcW w:w="0" w:type="auto"/>
            <w:shd w:val="clear" w:color="auto" w:fill="1F4E79"/>
          </w:tcPr>
          <w:p w14:paraId="6A4172CC" w14:textId="77777777" w:rsidR="00D776E7" w:rsidRDefault="00AA7CAB">
            <w:r>
              <w:rPr>
                <w:b/>
                <w:bCs/>
                <w:color w:val="FFFFFF"/>
              </w:rPr>
              <w:lastRenderedPageBreak/>
              <w:t>Phase</w:t>
            </w:r>
          </w:p>
        </w:tc>
        <w:tc>
          <w:tcPr>
            <w:tcW w:w="0" w:type="auto"/>
            <w:shd w:val="clear" w:color="auto" w:fill="1F4E79"/>
          </w:tcPr>
          <w:p w14:paraId="6A4172CD" w14:textId="77777777" w:rsidR="00D776E7" w:rsidRDefault="00AA7CAB">
            <w:r>
              <w:rPr>
                <w:b/>
                <w:bCs/>
                <w:color w:val="FFFFFF"/>
              </w:rPr>
              <w:t>Timing</w:t>
            </w:r>
          </w:p>
        </w:tc>
        <w:tc>
          <w:tcPr>
            <w:tcW w:w="0" w:type="auto"/>
            <w:shd w:val="clear" w:color="auto" w:fill="1F4E79"/>
          </w:tcPr>
          <w:p w14:paraId="6A4172CE" w14:textId="77777777" w:rsidR="00D776E7" w:rsidRDefault="00AA7CAB">
            <w:r>
              <w:rPr>
                <w:b/>
                <w:bCs/>
                <w:color w:val="FFFFFF"/>
              </w:rPr>
              <w:t>Goal</w:t>
            </w:r>
          </w:p>
        </w:tc>
        <w:tc>
          <w:tcPr>
            <w:tcW w:w="0" w:type="auto"/>
            <w:shd w:val="clear" w:color="auto" w:fill="1F4E79"/>
          </w:tcPr>
          <w:p w14:paraId="6A4172CF" w14:textId="77777777" w:rsidR="00D776E7" w:rsidRDefault="00AA7CAB">
            <w:r>
              <w:rPr>
                <w:b/>
                <w:bCs/>
                <w:color w:val="FFFFFF"/>
              </w:rPr>
              <w:t>Example tactics</w:t>
            </w:r>
          </w:p>
        </w:tc>
      </w:tr>
      <w:tr w:rsidR="00D776E7" w14:paraId="6A4172D5" w14:textId="77777777">
        <w:tblPrEx>
          <w:tblCellMar>
            <w:top w:w="0" w:type="dxa"/>
            <w:bottom w:w="0" w:type="dxa"/>
          </w:tblCellMar>
        </w:tblPrEx>
        <w:tc>
          <w:tcPr>
            <w:tcW w:w="0" w:type="auto"/>
          </w:tcPr>
          <w:p w14:paraId="6A4172D1" w14:textId="77777777" w:rsidR="00D776E7" w:rsidRDefault="00AA7CAB">
            <w:r>
              <w:t>Tease</w:t>
            </w:r>
          </w:p>
        </w:tc>
        <w:tc>
          <w:tcPr>
            <w:tcW w:w="0" w:type="auto"/>
          </w:tcPr>
          <w:p w14:paraId="6A4172D2" w14:textId="77777777" w:rsidR="00D776E7" w:rsidRDefault="00AA7CAB">
            <w:r>
              <w:t>Weeks 1-2</w:t>
            </w:r>
          </w:p>
        </w:tc>
        <w:tc>
          <w:tcPr>
            <w:tcW w:w="0" w:type="auto"/>
          </w:tcPr>
          <w:p w14:paraId="6A4172D3" w14:textId="77777777" w:rsidR="00D776E7" w:rsidRDefault="00AA7CAB">
            <w:r>
              <w:t>Create curiosity</w:t>
            </w:r>
          </w:p>
        </w:tc>
        <w:tc>
          <w:tcPr>
            <w:tcW w:w="0" w:type="auto"/>
          </w:tcPr>
          <w:p w14:paraId="6A4172D4" w14:textId="77777777" w:rsidR="00D776E7" w:rsidRDefault="00AA7CAB">
            <w:r>
              <w:t>Short social videos, email waitlist, blurred feature reveals</w:t>
            </w:r>
          </w:p>
        </w:tc>
      </w:tr>
      <w:tr w:rsidR="00D776E7" w14:paraId="6A4172DA" w14:textId="77777777">
        <w:tblPrEx>
          <w:tblCellMar>
            <w:top w:w="0" w:type="dxa"/>
            <w:bottom w:w="0" w:type="dxa"/>
          </w:tblCellMar>
        </w:tblPrEx>
        <w:tc>
          <w:tcPr>
            <w:tcW w:w="0" w:type="auto"/>
          </w:tcPr>
          <w:p w14:paraId="6A4172D6" w14:textId="77777777" w:rsidR="00D776E7" w:rsidRDefault="00AA7CAB">
            <w:r>
              <w:t>Reveal</w:t>
            </w:r>
          </w:p>
        </w:tc>
        <w:tc>
          <w:tcPr>
            <w:tcW w:w="0" w:type="auto"/>
          </w:tcPr>
          <w:p w14:paraId="6A4172D7" w14:textId="77777777" w:rsidR="00D776E7" w:rsidRDefault="00AA7CAB">
            <w:r>
              <w:t>Weeks 3-5</w:t>
            </w:r>
          </w:p>
        </w:tc>
        <w:tc>
          <w:tcPr>
            <w:tcW w:w="0" w:type="auto"/>
          </w:tcPr>
          <w:p w14:paraId="6A4172D8" w14:textId="77777777" w:rsidR="00D776E7" w:rsidRDefault="00AA7CAB">
            <w:r>
              <w:t>Explain the promise</w:t>
            </w:r>
          </w:p>
        </w:tc>
        <w:tc>
          <w:tcPr>
            <w:tcW w:w="0" w:type="auto"/>
          </w:tcPr>
          <w:p w14:paraId="6A4172D9" w14:textId="77777777" w:rsidR="00D776E7" w:rsidRDefault="00AA7CAB">
            <w:r>
              <w:t>Hero video, landing page, launch email, press-style blog article</w:t>
            </w:r>
          </w:p>
        </w:tc>
      </w:tr>
      <w:tr w:rsidR="00D776E7" w14:paraId="6A4172DF" w14:textId="77777777">
        <w:tblPrEx>
          <w:tblCellMar>
            <w:top w:w="0" w:type="dxa"/>
            <w:bottom w:w="0" w:type="dxa"/>
          </w:tblCellMar>
        </w:tblPrEx>
        <w:tc>
          <w:tcPr>
            <w:tcW w:w="0" w:type="auto"/>
          </w:tcPr>
          <w:p w14:paraId="6A4172DB" w14:textId="77777777" w:rsidR="00D776E7" w:rsidRDefault="00AA7CAB">
            <w:r>
              <w:t>Consider</w:t>
            </w:r>
          </w:p>
        </w:tc>
        <w:tc>
          <w:tcPr>
            <w:tcW w:w="0" w:type="auto"/>
          </w:tcPr>
          <w:p w14:paraId="6A4172DC" w14:textId="77777777" w:rsidR="00D776E7" w:rsidRDefault="00AA7CAB">
            <w:r>
              <w:t>Weeks 6-9</w:t>
            </w:r>
          </w:p>
        </w:tc>
        <w:tc>
          <w:tcPr>
            <w:tcW w:w="0" w:type="auto"/>
          </w:tcPr>
          <w:p w14:paraId="6A4172DD" w14:textId="77777777" w:rsidR="00D776E7" w:rsidRDefault="00AA7CAB">
            <w:r>
              <w:t>Drive configuration and dealer actions</w:t>
            </w:r>
          </w:p>
        </w:tc>
        <w:tc>
          <w:tcPr>
            <w:tcW w:w="0" w:type="auto"/>
          </w:tcPr>
          <w:p w14:paraId="6A4172DE" w14:textId="77777777" w:rsidR="00D776E7" w:rsidRDefault="00AA7CAB">
            <w:r>
              <w:t>Feature explainers, comparison guide, test-drive retargeting</w:t>
            </w:r>
          </w:p>
        </w:tc>
      </w:tr>
      <w:tr w:rsidR="00D776E7" w14:paraId="6A4172E4" w14:textId="77777777">
        <w:tblPrEx>
          <w:tblCellMar>
            <w:top w:w="0" w:type="dxa"/>
            <w:bottom w:w="0" w:type="dxa"/>
          </w:tblCellMar>
        </w:tblPrEx>
        <w:tc>
          <w:tcPr>
            <w:tcW w:w="0" w:type="auto"/>
          </w:tcPr>
          <w:p w14:paraId="6A4172E0" w14:textId="77777777" w:rsidR="00D776E7" w:rsidRDefault="00AA7CAB">
            <w:r>
              <w:t>Convert</w:t>
            </w:r>
          </w:p>
        </w:tc>
        <w:tc>
          <w:tcPr>
            <w:tcW w:w="0" w:type="auto"/>
          </w:tcPr>
          <w:p w14:paraId="6A4172E1" w14:textId="77777777" w:rsidR="00D776E7" w:rsidRDefault="00AA7CAB">
            <w:r>
              <w:t>Weeks 10-12</w:t>
            </w:r>
          </w:p>
        </w:tc>
        <w:tc>
          <w:tcPr>
            <w:tcW w:w="0" w:type="auto"/>
          </w:tcPr>
          <w:p w14:paraId="6A4172E2" w14:textId="77777777" w:rsidR="00D776E7" w:rsidRDefault="00AA7CAB">
            <w:r>
              <w:t>Move interested buyers to appointments</w:t>
            </w:r>
          </w:p>
        </w:tc>
        <w:tc>
          <w:tcPr>
            <w:tcW w:w="0" w:type="auto"/>
          </w:tcPr>
          <w:p w14:paraId="6A4172E3" w14:textId="77777777" w:rsidR="00D776E7" w:rsidRDefault="00AA7CAB">
            <w:r>
              <w:t>Dealer follow-up kit, offer email, local event invitations</w:t>
            </w:r>
          </w:p>
        </w:tc>
      </w:tr>
    </w:tbl>
    <w:p w14:paraId="6A4172E5" w14:textId="77777777" w:rsidR="00D776E7" w:rsidRDefault="00AA7CAB">
      <w:pPr>
        <w:pStyle w:val="Heading1"/>
        <w:spacing w:after="140"/>
      </w:pPr>
      <w:r>
        <w:t>Channel plan</w:t>
      </w:r>
    </w:p>
    <w:p w14:paraId="6A4172E6" w14:textId="77777777" w:rsidR="00D776E7" w:rsidRDefault="00AA7CAB">
      <w:pPr>
        <w:spacing w:after="90"/>
        <w:ind w:left="360"/>
      </w:pPr>
      <w:r>
        <w:t>- Website landing page with interactive routine planner and simple feature explanations.</w:t>
      </w:r>
    </w:p>
    <w:p w14:paraId="6A4172E7" w14:textId="77777777" w:rsidR="00D776E7" w:rsidRDefault="00AA7CAB">
      <w:pPr>
        <w:spacing w:after="90"/>
        <w:ind w:left="360"/>
      </w:pPr>
      <w:r>
        <w:t>- Email journey with separate versions for families, commuters, and design-conscious buyers.</w:t>
      </w:r>
    </w:p>
    <w:p w14:paraId="6A4172E8" w14:textId="77777777" w:rsidR="00D776E7" w:rsidRDefault="00AA7CAB">
      <w:pPr>
        <w:spacing w:after="90"/>
        <w:ind w:left="360"/>
      </w:pPr>
      <w:r>
        <w:t>- Paid social videos focused on calm, real-life moments rather than technical jargon.</w:t>
      </w:r>
    </w:p>
    <w:p w14:paraId="6A4172E9" w14:textId="77777777" w:rsidR="00D776E7" w:rsidRDefault="00AA7CAB">
      <w:pPr>
        <w:spacing w:after="90"/>
        <w:ind w:left="360"/>
      </w:pPr>
      <w:r>
        <w:t>- Dealer enablement one-pager with objection handling for range, charging, and total ownership questions.</w:t>
      </w:r>
    </w:p>
    <w:p w14:paraId="6A4172EA" w14:textId="77777777" w:rsidR="00D776E7" w:rsidRDefault="00AA7CAB">
      <w:pPr>
        <w:spacing w:after="90"/>
        <w:ind w:left="360"/>
      </w:pPr>
      <w:r>
        <w:t>- Executive dashboard showing reach, engagement, configuration starts, and appointment conversion.</w:t>
      </w:r>
    </w:p>
    <w:p w14:paraId="6A4172EB" w14:textId="77777777" w:rsidR="00D776E7" w:rsidRDefault="00AA7CAB">
      <w:pPr>
        <w:pStyle w:val="Heading1"/>
        <w:spacing w:after="140"/>
      </w:pPr>
      <w:r>
        <w:t>Sample launch email</w:t>
      </w:r>
    </w:p>
    <w:p w14:paraId="6A4172EC" w14:textId="77777777" w:rsidR="00D776E7" w:rsidRDefault="00AA7CAB">
      <w:pPr>
        <w:spacing w:after="140"/>
      </w:pPr>
      <w:r>
        <w:t>Subject: Meet the EV built for the week ahead. Body: Introducing the Northstar Aster EV, a connected crossover designed to make electric driving feel clear and natural. From route planning to cabin flexibility, Aster helps simplify the decisions that fill a busy week. Explore the features, build your preferred configuration, or schedule a first look with a local product specialist.</w:t>
      </w:r>
    </w:p>
    <w:p w14:paraId="6A4172ED" w14:textId="77777777" w:rsidR="00D776E7" w:rsidRDefault="00AA7CAB">
      <w:pPr>
        <w:pStyle w:val="Heading1"/>
        <w:spacing w:after="140"/>
      </w:pPr>
      <w:r>
        <w:t>Success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9"/>
        <w:gridCol w:w="1065"/>
        <w:gridCol w:w="4162"/>
      </w:tblGrid>
      <w:tr w:rsidR="00D776E7" w14:paraId="6A4172F1" w14:textId="77777777">
        <w:tblPrEx>
          <w:tblCellMar>
            <w:top w:w="0" w:type="dxa"/>
            <w:bottom w:w="0" w:type="dxa"/>
          </w:tblCellMar>
        </w:tblPrEx>
        <w:trPr>
          <w:tblHeader/>
        </w:trPr>
        <w:tc>
          <w:tcPr>
            <w:tcW w:w="0" w:type="auto"/>
            <w:shd w:val="clear" w:color="auto" w:fill="1F4E79"/>
          </w:tcPr>
          <w:p w14:paraId="6A4172EE" w14:textId="77777777" w:rsidR="00D776E7" w:rsidRDefault="00AA7CAB">
            <w:r>
              <w:rPr>
                <w:b/>
                <w:bCs/>
                <w:color w:val="FFFFFF"/>
              </w:rPr>
              <w:t>Metric</w:t>
            </w:r>
          </w:p>
        </w:tc>
        <w:tc>
          <w:tcPr>
            <w:tcW w:w="0" w:type="auto"/>
            <w:shd w:val="clear" w:color="auto" w:fill="1F4E79"/>
          </w:tcPr>
          <w:p w14:paraId="6A4172EF" w14:textId="77777777" w:rsidR="00D776E7" w:rsidRDefault="00AA7CAB">
            <w:r>
              <w:rPr>
                <w:b/>
                <w:bCs/>
                <w:color w:val="FFFFFF"/>
              </w:rPr>
              <w:t>Target</w:t>
            </w:r>
          </w:p>
        </w:tc>
        <w:tc>
          <w:tcPr>
            <w:tcW w:w="0" w:type="auto"/>
            <w:shd w:val="clear" w:color="auto" w:fill="1F4E79"/>
          </w:tcPr>
          <w:p w14:paraId="6A4172F0" w14:textId="77777777" w:rsidR="00D776E7" w:rsidRDefault="00AA7CAB">
            <w:r>
              <w:rPr>
                <w:b/>
                <w:bCs/>
                <w:color w:val="FFFFFF"/>
              </w:rPr>
              <w:t>Demo interpretation</w:t>
            </w:r>
          </w:p>
        </w:tc>
      </w:tr>
      <w:tr w:rsidR="00D776E7" w14:paraId="6A4172F5" w14:textId="77777777">
        <w:tblPrEx>
          <w:tblCellMar>
            <w:top w:w="0" w:type="dxa"/>
            <w:bottom w:w="0" w:type="dxa"/>
          </w:tblCellMar>
        </w:tblPrEx>
        <w:tc>
          <w:tcPr>
            <w:tcW w:w="0" w:type="auto"/>
          </w:tcPr>
          <w:p w14:paraId="6A4172F2" w14:textId="77777777" w:rsidR="00D776E7" w:rsidRDefault="00AA7CAB">
            <w:r>
              <w:t>Landing page visits</w:t>
            </w:r>
          </w:p>
        </w:tc>
        <w:tc>
          <w:tcPr>
            <w:tcW w:w="0" w:type="auto"/>
          </w:tcPr>
          <w:p w14:paraId="6A4172F3" w14:textId="77777777" w:rsidR="00D776E7" w:rsidRDefault="00AA7CAB">
            <w:r>
              <w:t>125,000</w:t>
            </w:r>
          </w:p>
        </w:tc>
        <w:tc>
          <w:tcPr>
            <w:tcW w:w="0" w:type="auto"/>
          </w:tcPr>
          <w:p w14:paraId="6A4172F4" w14:textId="77777777" w:rsidR="00D776E7" w:rsidRDefault="00AA7CAB">
            <w:r>
              <w:t>Awareness and media efficiency</w:t>
            </w:r>
          </w:p>
        </w:tc>
      </w:tr>
      <w:tr w:rsidR="00D776E7" w14:paraId="6A4172F9" w14:textId="77777777">
        <w:tblPrEx>
          <w:tblCellMar>
            <w:top w:w="0" w:type="dxa"/>
            <w:bottom w:w="0" w:type="dxa"/>
          </w:tblCellMar>
        </w:tblPrEx>
        <w:tc>
          <w:tcPr>
            <w:tcW w:w="0" w:type="auto"/>
          </w:tcPr>
          <w:p w14:paraId="6A4172F6" w14:textId="77777777" w:rsidR="00D776E7" w:rsidRDefault="00AA7CAB">
            <w:r>
              <w:t>Configuration starts</w:t>
            </w:r>
          </w:p>
        </w:tc>
        <w:tc>
          <w:tcPr>
            <w:tcW w:w="0" w:type="auto"/>
          </w:tcPr>
          <w:p w14:paraId="6A4172F7" w14:textId="77777777" w:rsidR="00D776E7" w:rsidRDefault="00AA7CAB">
            <w:r>
              <w:t>18,000</w:t>
            </w:r>
          </w:p>
        </w:tc>
        <w:tc>
          <w:tcPr>
            <w:tcW w:w="0" w:type="auto"/>
          </w:tcPr>
          <w:p w14:paraId="6A4172F8" w14:textId="77777777" w:rsidR="00D776E7" w:rsidRDefault="00AA7CAB">
            <w:r>
              <w:t>Qualified consideration</w:t>
            </w:r>
          </w:p>
        </w:tc>
      </w:tr>
      <w:tr w:rsidR="00D776E7" w14:paraId="6A4172FD" w14:textId="77777777">
        <w:tblPrEx>
          <w:tblCellMar>
            <w:top w:w="0" w:type="dxa"/>
            <w:bottom w:w="0" w:type="dxa"/>
          </w:tblCellMar>
        </w:tblPrEx>
        <w:tc>
          <w:tcPr>
            <w:tcW w:w="0" w:type="auto"/>
          </w:tcPr>
          <w:p w14:paraId="6A4172FA" w14:textId="77777777" w:rsidR="00D776E7" w:rsidRDefault="00AA7CAB">
            <w:r>
              <w:t>Dealer appointment requests</w:t>
            </w:r>
          </w:p>
        </w:tc>
        <w:tc>
          <w:tcPr>
            <w:tcW w:w="0" w:type="auto"/>
          </w:tcPr>
          <w:p w14:paraId="6A4172FB" w14:textId="77777777" w:rsidR="00D776E7" w:rsidRDefault="00AA7CAB">
            <w:r>
              <w:t>4,200</w:t>
            </w:r>
          </w:p>
        </w:tc>
        <w:tc>
          <w:tcPr>
            <w:tcW w:w="0" w:type="auto"/>
          </w:tcPr>
          <w:p w14:paraId="6A4172FC" w14:textId="77777777" w:rsidR="00D776E7" w:rsidRDefault="00AA7CAB">
            <w:r>
              <w:t>Conversion intent</w:t>
            </w:r>
          </w:p>
        </w:tc>
      </w:tr>
      <w:tr w:rsidR="00D776E7" w14:paraId="6A417301" w14:textId="77777777">
        <w:tblPrEx>
          <w:tblCellMar>
            <w:top w:w="0" w:type="dxa"/>
            <w:bottom w:w="0" w:type="dxa"/>
          </w:tblCellMar>
        </w:tblPrEx>
        <w:tc>
          <w:tcPr>
            <w:tcW w:w="0" w:type="auto"/>
          </w:tcPr>
          <w:p w14:paraId="6A4172FE" w14:textId="77777777" w:rsidR="00D776E7" w:rsidRDefault="00AA7CAB">
            <w:r>
              <w:t>Email click-through rate</w:t>
            </w:r>
          </w:p>
        </w:tc>
        <w:tc>
          <w:tcPr>
            <w:tcW w:w="0" w:type="auto"/>
          </w:tcPr>
          <w:p w14:paraId="6A4172FF" w14:textId="77777777" w:rsidR="00D776E7" w:rsidRDefault="00AA7CAB">
            <w:r>
              <w:t>6.5%</w:t>
            </w:r>
          </w:p>
        </w:tc>
        <w:tc>
          <w:tcPr>
            <w:tcW w:w="0" w:type="auto"/>
          </w:tcPr>
          <w:p w14:paraId="6A417300" w14:textId="77777777" w:rsidR="00D776E7" w:rsidRDefault="00AA7CAB">
            <w:r>
              <w:t>Message resonance</w:t>
            </w:r>
          </w:p>
        </w:tc>
      </w:tr>
      <w:tr w:rsidR="00D776E7" w14:paraId="6A417305" w14:textId="77777777">
        <w:tblPrEx>
          <w:tblCellMar>
            <w:top w:w="0" w:type="dxa"/>
            <w:bottom w:w="0" w:type="dxa"/>
          </w:tblCellMar>
        </w:tblPrEx>
        <w:tc>
          <w:tcPr>
            <w:tcW w:w="0" w:type="auto"/>
          </w:tcPr>
          <w:p w14:paraId="6A417302" w14:textId="77777777" w:rsidR="00D776E7" w:rsidRDefault="00AA7CAB">
            <w:r>
              <w:t>Video completion rate</w:t>
            </w:r>
          </w:p>
        </w:tc>
        <w:tc>
          <w:tcPr>
            <w:tcW w:w="0" w:type="auto"/>
          </w:tcPr>
          <w:p w14:paraId="6A417303" w14:textId="77777777" w:rsidR="00D776E7" w:rsidRDefault="00AA7CAB">
            <w:r>
              <w:t>42%</w:t>
            </w:r>
          </w:p>
        </w:tc>
        <w:tc>
          <w:tcPr>
            <w:tcW w:w="0" w:type="auto"/>
          </w:tcPr>
          <w:p w14:paraId="6A417304" w14:textId="77777777" w:rsidR="00D776E7" w:rsidRDefault="00AA7CAB">
            <w:r>
              <w:t>Creative engagement</w:t>
            </w:r>
          </w:p>
        </w:tc>
      </w:tr>
    </w:tbl>
    <w:p w14:paraId="6A417306" w14:textId="77777777" w:rsidR="00D776E7" w:rsidRDefault="00AA7CAB">
      <w:pPr>
        <w:pStyle w:val="Heading1"/>
        <w:spacing w:after="140"/>
      </w:pPr>
      <w:r>
        <w:t>Risks and mitigations</w:t>
      </w:r>
    </w:p>
    <w:p w14:paraId="6A417307" w14:textId="77777777" w:rsidR="00D776E7" w:rsidRDefault="00AA7CAB">
      <w:pPr>
        <w:spacing w:after="90"/>
        <w:ind w:left="360"/>
      </w:pPr>
      <w:r>
        <w:t>- Risk: EV charging questions dominate the conversation. Mitigation: create simple charging explainers and dealer talking points.</w:t>
      </w:r>
    </w:p>
    <w:p w14:paraId="6A417308" w14:textId="77777777" w:rsidR="00D776E7" w:rsidRDefault="00AA7CAB">
      <w:pPr>
        <w:spacing w:after="90"/>
        <w:ind w:left="360"/>
      </w:pPr>
      <w:r>
        <w:t xml:space="preserve">- Risk: Technology claims sound too abstract. Mitigation: tie every feature to a daily </w:t>
      </w:r>
      <w:proofErr w:type="gramStart"/>
      <w:r>
        <w:t>customer</w:t>
      </w:r>
      <w:proofErr w:type="gramEnd"/>
      <w:r>
        <w:t xml:space="preserve"> moment.</w:t>
      </w:r>
    </w:p>
    <w:p w14:paraId="6A417309" w14:textId="77777777" w:rsidR="00D776E7" w:rsidRDefault="00AA7CAB">
      <w:pPr>
        <w:spacing w:after="90"/>
        <w:ind w:left="360"/>
      </w:pPr>
      <w:r>
        <w:t>- Risk: Campaign fragments across channels. Mitigation: reuse the same promise, proof points, and visual system across every asset.</w:t>
      </w:r>
    </w:p>
    <w:p w14:paraId="6A41730A" w14:textId="77777777" w:rsidR="00D776E7" w:rsidRDefault="00AA7CAB">
      <w:pPr>
        <w:pStyle w:val="Heading1"/>
        <w:spacing w:after="140"/>
      </w:pPr>
      <w:r>
        <w:t>Copilot demo notes</w:t>
      </w:r>
    </w:p>
    <w:p w14:paraId="6A41730B" w14:textId="77777777" w:rsidR="00D776E7" w:rsidRDefault="00AA7CAB">
      <w:pPr>
        <w:spacing w:after="140"/>
      </w:pPr>
      <w:r>
        <w:t>This campaign brief is useful for creating campaign calendars, launch emails, social copy, executive summaries, pitch decks, risk reviews, and comparisons against the broader brand marketing document.</w:t>
      </w:r>
    </w:p>
    <w:sectPr w:rsidR="00D776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6E7"/>
    <w:rsid w:val="000E343B"/>
    <w:rsid w:val="006A463B"/>
    <w:rsid w:val="00AA7CAB"/>
    <w:rsid w:val="00D7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72AA"/>
  <w15:docId w15:val="{669D89D4-B76B-458C-9EAB-DFCE9D35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sz w:val="22"/>
      <w:szCs w:val="22"/>
    </w:rPr>
  </w:style>
  <w:style w:type="paragraph" w:styleId="Heading1">
    <w:name w:val="heading 1"/>
    <w:basedOn w:val="Normal"/>
    <w:next w:val="Normal"/>
    <w:uiPriority w:val="9"/>
    <w:qFormat/>
    <w:pPr>
      <w:outlineLvl w:val="0"/>
    </w:pPr>
    <w:rPr>
      <w:rFonts w:ascii="Aptos Display" w:eastAsia="Aptos Display" w:hAnsi="Aptos Display" w:cs="Aptos Display"/>
      <w:b/>
      <w:bCs/>
      <w:color w:val="1F4E79"/>
      <w:sz w:val="32"/>
      <w:szCs w:val="32"/>
    </w:rPr>
  </w:style>
  <w:style w:type="paragraph" w:styleId="Heading2">
    <w:name w:val="heading 2"/>
    <w:basedOn w:val="Normal"/>
    <w:next w:val="Normal"/>
    <w:uiPriority w:val="9"/>
    <w:semiHidden/>
    <w:unhideWhenUsed/>
    <w:qFormat/>
    <w:pPr>
      <w:outlineLvl w:val="1"/>
    </w:pPr>
    <w:rPr>
      <w:rFonts w:ascii="Aptos Display" w:eastAsia="Aptos Display" w:hAnsi="Aptos Display" w:cs="Aptos Display"/>
      <w:b/>
      <w:bCs/>
      <w:color w:val="2F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Brief: Northstar Aster EV Launch</dc:title>
  <dc:creator>Microsoft Scout</dc:creator>
  <dc:description>Fictional public-safe marketing sample for Microsoft 365 Copilot demos</dc:description>
  <cp:lastModifiedBy>Michael Mishal</cp:lastModifiedBy>
  <cp:revision>2</cp:revision>
  <dcterms:created xsi:type="dcterms:W3CDTF">2026-09-29T14:13:00Z</dcterms:created>
  <dcterms:modified xsi:type="dcterms:W3CDTF">2026-09-29T14:34:00Z</dcterms:modified>
</cp:coreProperties>
</file>