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Trabajo Práctico Integrador (TPI) — Food Store</w:t>
      </w:r>
    </w:p>
    <w:p>
      <w:pPr>
        <w:pStyle w:val="Title"/>
        <w:rPr>
          <w:color w:val="000000"/>
        </w:rPr>
      </w:pPr>
      <w:r>
        <w:rPr>
          <w:color w:val="000000"/>
        </w:rPr>
        <w:t>Informe Unidades 1, 2 y 3</w:t>
      </w:r>
    </w:p>
    <w:p>
      <w:pPr>
        <w:pStyle w:val="normal1"/>
        <w:jc w:val="center"/>
        <w:rPr>
          <w:rFonts w:ascii="Berlin Sans FB Demi" w:hAnsi="Berlin Sans FB Demi"/>
          <w:b/>
          <w:color w:val="000000"/>
          <w:sz w:val="30"/>
          <w:highlight w:val="none"/>
          <w:shd w:fill="auto" w:val="clear"/>
        </w:rPr>
      </w:pPr>
      <w:r>
        <w:rPr>
          <w:rFonts w:ascii="Berlin Sans FB Demi" w:hAnsi="Berlin Sans FB Demi"/>
          <w:b/>
          <w:color w:val="000000"/>
          <w:sz w:val="30"/>
          <w:shd w:fill="auto" w:val="clear"/>
        </w:rPr>
      </w:r>
    </w:p>
    <w:p>
      <w:pPr>
        <w:pStyle w:val="Normal"/>
        <w:jc w:val="center"/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 xml:space="preserve">Informe Unidad </w:t>
      </w:r>
      <w:r>
        <w:rPr>
          <w:rFonts w:ascii="Berlin Sans FB Demi" w:hAnsi="Berlin Sans FB Demi"/>
          <w:sz w:val="40"/>
          <w:szCs w:val="40"/>
        </w:rPr>
        <w:t>1</w:t>
      </w:r>
      <w:r>
        <w:rPr>
          <w:rFonts w:ascii="Berlin Sans FB Demi" w:hAnsi="Berlin Sans FB Demi"/>
          <w:sz w:val="40"/>
          <w:szCs w:val="40"/>
        </w:rPr>
        <w:t xml:space="preserve">: </w:t>
      </w:r>
      <w:r>
        <w:rPr>
          <w:rFonts w:ascii="Berlin Sans FB Demi" w:hAnsi="Berlin Sans FB Demi"/>
          <w:sz w:val="40"/>
          <w:szCs w:val="40"/>
        </w:rPr>
        <w:t>MER-Normalizacion DDL</w:t>
      </w:r>
      <w:r>
        <w:rPr>
          <w:rFonts w:ascii="Berlin Sans FB Demi" w:hAnsi="Berlin Sans FB Demi"/>
          <w:sz w:val="40"/>
          <w:szCs w:val="40"/>
        </w:rPr>
        <w:t xml:space="preserve"> (TP3 + TP4)</w:t>
      </w:r>
    </w:p>
    <w:p>
      <w:pPr>
        <w:pStyle w:val="normal1"/>
        <w:jc w:val="center"/>
        <w:rPr>
          <w:i/>
          <w:sz w:val="20"/>
        </w:rPr>
      </w:pPr>
      <w:r>
        <w:rPr>
          <w:i/>
          <w:sz w:val="20"/>
        </w:rPr>
        <w:t>Integrantes: Julieta Herrera – Maria de los Angeles Zalazar  |  Base de Datos II</w:t>
      </w:r>
    </w:p>
    <w:p>
      <w:pPr>
        <w:pStyle w:val="normal1"/>
        <w:jc w:val="center"/>
        <w:rPr>
          <w:i/>
          <w:sz w:val="20"/>
        </w:rPr>
      </w:pPr>
      <w:r>
        <w:rPr>
          <w:i/>
          <w:sz w:val="20"/>
        </w:rPr>
        <w:t>comision 1PROG2</w:t>
      </w:r>
    </w:p>
    <w:p>
      <w:pPr>
        <w:pStyle w:val="normal1"/>
        <w:rPr>
          <w:rFonts w:ascii="Google Sans" w:hAnsi="Google Sans" w:eastAsia="Google Sans" w:cs="Google Sans"/>
          <w:b/>
          <w:i w:val="false"/>
          <w:color w:val="0B3D63"/>
          <w:sz w:val="26"/>
          <w:szCs w:val="26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  <w:sz w:val="26"/>
          <w:szCs w:val="26"/>
        </w:rPr>
      </w:pPr>
      <w:r>
        <w:rPr>
          <w:rFonts w:eastAsia="Google Sans" w:cs="Google Sans" w:ascii="Google Sans" w:hAnsi="Google Sans"/>
          <w:color w:val="1F1F1F"/>
          <w:sz w:val="26"/>
          <w:szCs w:val="26"/>
        </w:rPr>
        <w:t>Link al repositorio de los trabajos 1 y 2:</w:t>
      </w:r>
    </w:p>
    <w:p>
      <w:pPr>
        <w:pStyle w:val="normal1"/>
        <w:numPr>
          <w:ilvl w:val="0"/>
          <w:numId w:val="7"/>
        </w:numPr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  <w:sz w:val="26"/>
          <w:szCs w:val="26"/>
        </w:rPr>
      </w:pPr>
      <w:hyperlink r:id="rId2">
        <w:r>
          <w:rPr>
            <w:rStyle w:val="Hyperlink"/>
            <w:rFonts w:eastAsia="Google Sans" w:cs="Google Sans" w:ascii="Google Sans" w:hAnsi="Google Sans"/>
            <w:color w:val="3465A4"/>
            <w:sz w:val="26"/>
            <w:szCs w:val="26"/>
          </w:rPr>
          <w:t>https://github.com/juliiirnr-hash/TP2_BD2/tree/master/u1tp1</w:t>
        </w:r>
      </w:hyperlink>
    </w:p>
    <w:p>
      <w:pPr>
        <w:pStyle w:val="normal1"/>
        <w:numPr>
          <w:ilvl w:val="0"/>
          <w:numId w:val="7"/>
        </w:numPr>
        <w:spacing w:lineRule="auto" w:line="288" w:before="0" w:after="160"/>
        <w:jc w:val="center"/>
        <w:rPr/>
      </w:pPr>
      <w:hyperlink r:id="rId3">
        <w:r>
          <w:rPr>
            <w:rStyle w:val="Hyperlink"/>
            <w:rFonts w:eastAsia="Google Sans" w:cs="Google Sans" w:ascii="Google Sans" w:hAnsi="Google Sans"/>
            <w:color w:val="3465A4"/>
            <w:sz w:val="26"/>
            <w:szCs w:val="26"/>
          </w:rPr>
          <w:t>https://github.com/juliiirnr-hash/TP2_BD2/tree/master/u1tp2</w:t>
        </w:r>
      </w:hyperlink>
    </w:p>
    <w:p>
      <w:pPr>
        <w:pStyle w:val="normal1"/>
        <w:spacing w:lineRule="auto" w:line="288" w:before="0" w:after="160"/>
        <w:jc w:val="center"/>
        <w:rPr>
          <w:rFonts w:ascii="Google Sans" w:hAnsi="Google Sans" w:eastAsia="Google Sans" w:cs="Google Sans"/>
          <w:color w:val="000000"/>
          <w:highlight w:val="none"/>
          <w:shd w:fill="auto" w:val="clear"/>
        </w:rPr>
      </w:pPr>
      <w:r>
        <w:rPr>
          <w:rFonts w:eastAsia="Google Sans" w:cs="Google Sans" w:ascii="Google Sans" w:hAnsi="Google Sans"/>
          <w:color w:val="000000"/>
          <w:shd w:fill="auto" w:val="clear"/>
        </w:rPr>
      </w:r>
    </w:p>
    <w:p>
      <w:pPr>
        <w:pStyle w:val="Heading1"/>
        <w:shd w:val="clear" w:fill="auto"/>
        <w:spacing w:lineRule="auto" w:line="276" w:before="0" w:after="0"/>
        <w:rPr>
          <w:rFonts w:ascii="Calibri" w:hAnsi="Calibri"/>
          <w:color w:val="000000"/>
          <w:sz w:val="30"/>
          <w:szCs w:val="30"/>
          <w:highlight w:val="none"/>
          <w:shd w:fill="auto" w:val="clear"/>
        </w:rPr>
      </w:pPr>
      <w:r>
        <w:rPr>
          <w:rFonts w:eastAsia="Google Sans" w:cs="Google Sans" w:ascii="Calibri" w:hAnsi="Calibri"/>
          <w:b/>
          <w:i w:val="false"/>
          <w:color w:val="000000"/>
          <w:sz w:val="30"/>
          <w:szCs w:val="30"/>
          <w:shd w:fill="auto" w:val="clear"/>
        </w:rPr>
        <w:t>1. Qué elementos implementaron en la Unidad 1</w:t>
      </w:r>
    </w:p>
    <w:p>
      <w:pPr>
        <w:pStyle w:val="normal1"/>
        <w:numPr>
          <w:ilvl w:val="0"/>
          <w:numId w:val="8"/>
        </w:numPr>
        <w:shd w:val="clear" w:fill="auto"/>
        <w:spacing w:lineRule="auto" w:line="276"/>
        <w:ind w:hanging="360" w:start="590"/>
        <w:rPr>
          <w:rFonts w:ascii="Calibri" w:hAnsi="Calibri"/>
          <w:color w:val="000000"/>
          <w:sz w:val="30"/>
          <w:szCs w:val="30"/>
          <w:highlight w:val="none"/>
          <w:shd w:fill="auto" w:val="clear"/>
        </w:rPr>
      </w:pPr>
      <w:r>
        <w:rPr>
          <w:rFonts w:eastAsia="Google Sans" w:cs="Google Sans" w:ascii="Calibri" w:hAnsi="Calibri"/>
          <w:b/>
          <w:bCs/>
          <w:color w:val="000000"/>
          <w:sz w:val="30"/>
          <w:szCs w:val="30"/>
          <w:shd w:fill="auto" w:val="clear"/>
        </w:rPr>
        <w:t>Modelado Entidad-Relación (ER):</w:t>
      </w:r>
    </w:p>
    <w:p>
      <w:pPr>
        <w:pStyle w:val="normal1"/>
        <w:spacing w:lineRule="auto" w:line="276" w:before="0" w:after="24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Para dar respuesta a los requerimientos del dominio de </w:t>
      </w:r>
      <w:r>
        <w:rPr>
          <w:i/>
          <w:iCs/>
          <w:color w:val="000000"/>
          <w:shd w:fill="auto" w:val="clear"/>
        </w:rPr>
        <w:t>Food Store</w:t>
      </w:r>
      <w:r>
        <w:rPr>
          <w:color w:val="000000"/>
          <w:shd w:fill="auto" w:val="clear"/>
        </w:rPr>
        <w:t xml:space="preserve">, se diseñó el </w:t>
      </w:r>
      <w:r>
        <w:rPr>
          <w:b/>
          <w:bCs/>
          <w:color w:val="000000"/>
          <w:shd w:fill="auto" w:val="clear"/>
        </w:rPr>
        <w:t>Modelo Entidad-Relación (ER)</w:t>
      </w:r>
      <w:r>
        <w:rPr>
          <w:color w:val="000000"/>
          <w:shd w:fill="auto" w:val="clear"/>
        </w:rPr>
        <w:t xml:space="preserve"> reflejado en la </w:t>
      </w:r>
      <w:r>
        <w:rPr>
          <w:b/>
          <w:bCs/>
          <w:color w:val="000000"/>
          <w:shd w:fill="auto" w:val="clear"/>
        </w:rPr>
        <w:t>Figura 1</w:t>
      </w:r>
      <w:r>
        <w:rPr>
          <w:color w:val="000000"/>
          <w:shd w:fill="auto" w:val="clear"/>
        </w:rPr>
        <w:t>. El modelo abstrae la arquitectura de datos mediante cinco entidades clave (</w:t>
      </w:r>
      <w:r>
        <w:rPr>
          <w:color w:val="000000"/>
          <w:shd w:fill="auto" w:val="clear"/>
        </w:rPr>
        <w:t>USUARIO</w:t>
      </w:r>
      <w:r>
        <w:rPr>
          <w:color w:val="000000"/>
          <w:shd w:fill="auto" w:val="clear"/>
        </w:rPr>
        <w:t xml:space="preserve">, </w:t>
      </w:r>
      <w:r>
        <w:rPr>
          <w:color w:val="000000"/>
          <w:shd w:fill="auto" w:val="clear"/>
        </w:rPr>
        <w:t>CATEGORIA</w:t>
      </w:r>
      <w:r>
        <w:rPr>
          <w:color w:val="000000"/>
          <w:shd w:fill="auto" w:val="clear"/>
        </w:rPr>
        <w:t xml:space="preserve">, </w:t>
      </w:r>
      <w:r>
        <w:rPr>
          <w:color w:val="000000"/>
          <w:shd w:fill="auto" w:val="clear"/>
        </w:rPr>
        <w:t>PRODUCTO</w:t>
      </w:r>
      <w:r>
        <w:rPr>
          <w:color w:val="000000"/>
          <w:shd w:fill="auto" w:val="clear"/>
        </w:rPr>
        <w:t xml:space="preserve">, </w:t>
      </w:r>
      <w:r>
        <w:rPr>
          <w:color w:val="000000"/>
          <w:shd w:fill="auto" w:val="clear"/>
        </w:rPr>
        <w:t>PEDIDO</w:t>
      </w:r>
      <w:r>
        <w:rPr>
          <w:color w:val="000000"/>
          <w:shd w:fill="auto" w:val="clear"/>
        </w:rPr>
        <w:t xml:space="preserve"> y </w:t>
      </w:r>
      <w:r>
        <w:rPr>
          <w:color w:val="000000"/>
          <w:shd w:fill="auto" w:val="clear"/>
        </w:rPr>
        <w:t>DETALLE_PEDIDO</w:t>
      </w:r>
      <w:r>
        <w:rPr>
          <w:color w:val="000000"/>
          <w:shd w:fill="auto" w:val="clear"/>
        </w:rPr>
        <w:t>), estableciendo las siguientes reglas conceptuales de diseño:</w:t>
      </w:r>
    </w:p>
    <w:p>
      <w:pPr>
        <w:pStyle w:val="normal1"/>
        <w:numPr>
          <w:ilvl w:val="0"/>
          <w:numId w:val="9"/>
        </w:numPr>
        <w:spacing w:lineRule="auto" w:line="276" w:before="0" w:afterAutospacing="0" w:after="0"/>
        <w:ind w:hanging="360" w:start="720"/>
        <w:rPr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Resolución de la relación $N:M$ (Pedido - Producto):</w:t>
      </w:r>
      <w:r>
        <w:rPr>
          <w:color w:val="000000"/>
          <w:shd w:fill="auto" w:val="clear"/>
        </w:rPr>
        <w:t xml:space="preserve"> La compra de productos dentro de una orden se modela a través de la entidad intermedia/asociativa </w:t>
      </w:r>
      <w:r>
        <w:rPr>
          <w:color w:val="000000"/>
          <w:shd w:fill="auto" w:val="clear"/>
        </w:rPr>
        <w:t>DETALLE_PEDIDO</w:t>
      </w:r>
      <w:r>
        <w:rPr>
          <w:color w:val="000000"/>
          <w:shd w:fill="auto" w:val="clear"/>
        </w:rPr>
        <w:t xml:space="preserve">. Esto permite preservar la trazabilidad histórica de las ventas congelando el </w:t>
      </w:r>
      <w:r>
        <w:rPr>
          <w:color w:val="000000"/>
          <w:shd w:fill="auto" w:val="clear"/>
        </w:rPr>
        <w:t>precio_unitario</w:t>
      </w:r>
      <w:r>
        <w:rPr>
          <w:color w:val="000000"/>
          <w:shd w:fill="auto" w:val="clear"/>
        </w:rPr>
        <w:t xml:space="preserve">, calculando el </w:t>
      </w:r>
      <w:r>
        <w:rPr>
          <w:color w:val="000000"/>
          <w:shd w:fill="auto" w:val="clear"/>
        </w:rPr>
        <w:t>subtotal</w:t>
      </w:r>
      <w:r>
        <w:rPr>
          <w:color w:val="000000"/>
          <w:shd w:fill="auto" w:val="clear"/>
        </w:rPr>
        <w:t xml:space="preserve"> por ítem y registrando la </w:t>
      </w:r>
      <w:r>
        <w:rPr>
          <w:color w:val="000000"/>
          <w:shd w:fill="auto" w:val="clear"/>
        </w:rPr>
        <w:t>cantidad</w:t>
      </w:r>
      <w:r>
        <w:rPr>
          <w:color w:val="000000"/>
          <w:shd w:fill="auto" w:val="clear"/>
        </w:rPr>
        <w:t xml:space="preserve"> vendida, datos que se perderían en una relación binaria directa $1:N$.</w:t>
      </w:r>
    </w:p>
    <w:p>
      <w:pPr>
        <w:pStyle w:val="normal1"/>
        <w:numPr>
          <w:ilvl w:val="0"/>
          <w:numId w:val="9"/>
        </w:numPr>
        <w:spacing w:lineRule="auto" w:line="276" w:before="0" w:afterAutospacing="0" w:after="0"/>
        <w:ind w:hanging="360" w:start="720"/>
        <w:rPr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Definición de Participación y Cardinalidad:</w:t>
      </w:r>
    </w:p>
    <w:p>
      <w:pPr>
        <w:pStyle w:val="normal1"/>
        <w:numPr>
          <w:ilvl w:val="1"/>
          <w:numId w:val="9"/>
        </w:numPr>
        <w:spacing w:lineRule="auto" w:line="276" w:before="0" w:afterAutospacing="0" w:after="0"/>
        <w:ind w:hanging="360" w:start="144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CATEGORIA</w:t>
      </w:r>
      <w:r>
        <w:rPr>
          <w:color w:val="000000"/>
          <w:shd w:fill="auto" w:val="clear"/>
        </w:rPr>
        <w:t xml:space="preserve"> $\rightarrow$ </w:t>
      </w:r>
      <w:r>
        <w:rPr>
          <w:color w:val="000000"/>
          <w:shd w:fill="auto" w:val="clear"/>
        </w:rPr>
        <w:t>PRODUCTO</w:t>
      </w:r>
      <w:r>
        <w:rPr>
          <w:color w:val="000000"/>
          <w:shd w:fill="auto" w:val="clear"/>
        </w:rPr>
        <w:t xml:space="preserve"> ($1:N$): La categoría posee participación parcial (pueden existir categorías sin productos asignados), mientras que la participación de </w:t>
      </w:r>
      <w:r>
        <w:rPr>
          <w:color w:val="000000"/>
          <w:shd w:fill="auto" w:val="clear"/>
        </w:rPr>
        <w:t>PRODUCTO</w:t>
      </w:r>
      <w:r>
        <w:rPr>
          <w:color w:val="000000"/>
          <w:shd w:fill="auto" w:val="clear"/>
        </w:rPr>
        <w:t xml:space="preserve"> es total (</w:t>
      </w:r>
      <w:r>
        <w:rPr>
          <w:color w:val="000000"/>
          <w:shd w:fill="auto" w:val="clear"/>
        </w:rPr>
        <w:t>id_categoria</w:t>
      </w:r>
      <w:r>
        <w:rPr>
          <w:color w:val="000000"/>
          <w:shd w:fill="auto" w:val="clear"/>
        </w:rPr>
        <w:t xml:space="preserve"> obligatorio).</w:t>
      </w:r>
    </w:p>
    <w:p>
      <w:pPr>
        <w:pStyle w:val="normal1"/>
        <w:numPr>
          <w:ilvl w:val="1"/>
          <w:numId w:val="9"/>
        </w:numPr>
        <w:spacing w:lineRule="auto" w:line="276" w:before="0" w:afterAutospacing="0" w:after="0"/>
        <w:ind w:hanging="360" w:start="144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USUARIO</w:t>
      </w:r>
      <w:r>
        <w:rPr>
          <w:color w:val="000000"/>
          <w:shd w:fill="auto" w:val="clear"/>
        </w:rPr>
        <w:t xml:space="preserve"> $\rightarrow$ </w:t>
      </w:r>
      <w:r>
        <w:rPr>
          <w:color w:val="000000"/>
          <w:shd w:fill="auto" w:val="clear"/>
        </w:rPr>
        <w:t>PEDIDO</w:t>
      </w:r>
      <w:r>
        <w:rPr>
          <w:color w:val="000000"/>
          <w:shd w:fill="auto" w:val="clear"/>
        </w:rPr>
        <w:t xml:space="preserve"> ($1:N$): Un usuario puede realizar múltiples pedidos, existiendo una participación total por parte del pedido.</w:t>
      </w:r>
    </w:p>
    <w:p>
      <w:pPr>
        <w:pStyle w:val="normal1"/>
        <w:numPr>
          <w:ilvl w:val="1"/>
          <w:numId w:val="9"/>
        </w:numPr>
        <w:spacing w:lineRule="auto" w:line="276" w:before="0" w:afterAutospacing="0" w:after="0"/>
        <w:ind w:hanging="360" w:start="144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PEDIDO</w:t>
      </w:r>
      <w:r>
        <w:rPr>
          <w:color w:val="000000"/>
          <w:shd w:fill="auto" w:val="clear"/>
        </w:rPr>
        <w:t xml:space="preserve"> $\rightarrow$ </w:t>
      </w:r>
      <w:r>
        <w:rPr>
          <w:color w:val="000000"/>
          <w:shd w:fill="auto" w:val="clear"/>
        </w:rPr>
        <w:t>DETALLE_PEDIDO</w:t>
      </w:r>
      <w:r>
        <w:rPr>
          <w:color w:val="000000"/>
          <w:shd w:fill="auto" w:val="clear"/>
        </w:rPr>
        <w:t xml:space="preserve"> ($1:N$): Relación de composición donde la existencia de la línea de detalle depende estrictamente de la orden de compra.</w:t>
      </w:r>
    </w:p>
    <w:p>
      <w:pPr>
        <w:pStyle w:val="normal1"/>
        <w:numPr>
          <w:ilvl w:val="0"/>
          <w:numId w:val="9"/>
        </w:numPr>
        <w:spacing w:lineRule="auto" w:line="276" w:before="0" w:afterAutospacing="0" w:after="0"/>
        <w:ind w:hanging="360" w:start="720"/>
        <w:rPr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Atributos de Auditoría y Estado:</w:t>
      </w:r>
      <w:r>
        <w:rPr>
          <w:color w:val="000000"/>
          <w:shd w:fill="auto" w:val="clear"/>
        </w:rPr>
        <w:t xml:space="preserve"> Todas las entidades incorporan la columna </w:t>
      </w:r>
      <w:r>
        <w:rPr>
          <w:color w:val="000000"/>
          <w:shd w:fill="auto" w:val="clear"/>
        </w:rPr>
        <w:t>eliminado</w:t>
      </w:r>
      <w:r>
        <w:rPr>
          <w:color w:val="000000"/>
          <w:shd w:fill="auto" w:val="clear"/>
        </w:rPr>
        <w:t xml:space="preserve"> (boolean) para dar soporte al estándar de borrado lógico (</w:t>
      </w:r>
      <w:r>
        <w:rPr>
          <w:i/>
          <w:iCs/>
          <w:color w:val="000000"/>
          <w:shd w:fill="auto" w:val="clear"/>
        </w:rPr>
        <w:t>soft delete</w:t>
      </w:r>
      <w:r>
        <w:rPr>
          <w:color w:val="000000"/>
          <w:shd w:fill="auto" w:val="clear"/>
        </w:rPr>
        <w:t xml:space="preserve">) y la marca de tiempo </w:t>
      </w:r>
      <w:r>
        <w:rPr>
          <w:color w:val="000000"/>
          <w:shd w:fill="auto" w:val="clear"/>
        </w:rPr>
        <w:t>created_at</w:t>
      </w:r>
      <w:r>
        <w:rPr>
          <w:color w:val="000000"/>
          <w:shd w:fill="auto" w:val="clear"/>
        </w:rPr>
        <w:t xml:space="preserve"> (</w:t>
      </w:r>
      <w:r>
        <w:rPr>
          <w:color w:val="000000"/>
          <w:shd w:fill="auto" w:val="clear"/>
        </w:rPr>
        <w:t>timestamptz</w:t>
      </w:r>
      <w:r>
        <w:rPr>
          <w:color w:val="000000"/>
          <w:shd w:fill="auto" w:val="clear"/>
        </w:rPr>
        <w:t>) para auditoría de creación.</w:t>
      </w:r>
    </w:p>
    <w:p>
      <w:pPr>
        <w:pStyle w:val="normal1"/>
        <w:numPr>
          <w:ilvl w:val="1"/>
          <w:numId w:val="10"/>
        </w:numPr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000000"/>
          <w:highlight w:val="none"/>
          <w:u w:val="none"/>
          <w:shd w:fill="auto" w:val="clear"/>
        </w:rPr>
      </w:pPr>
      <w:r>
        <w:rPr>
          <w:rFonts w:eastAsia="Google Sans" w:cs="Google Sans" w:ascii="Google Sans" w:hAnsi="Google Sans"/>
          <w:color w:val="000000"/>
          <w:u w:val="none"/>
          <w:shd w:fill="auto" w:val="clear"/>
        </w:rPr>
      </w:r>
    </w:p>
    <w:p>
      <w:pPr>
        <w:pStyle w:val="normal1"/>
        <w:numPr>
          <w:ilvl w:val="1"/>
          <w:numId w:val="10"/>
        </w:numPr>
        <w:shd w:val="clear" w:fill="auto"/>
        <w:spacing w:lineRule="auto" w:line="276"/>
        <w:ind w:hanging="360" w:start="641"/>
        <w:rPr>
          <w:color w:val="000000"/>
          <w:highlight w:val="none"/>
          <w:shd w:fill="auto" w:val="clear"/>
        </w:rPr>
      </w:pPr>
      <w:r>
        <w:rPr>
          <w:rFonts w:eastAsia="Google Sans" w:cs="Google Sans" w:ascii="Calibri" w:hAnsi="Calibri"/>
          <w:b/>
          <w:bCs/>
          <w:color w:val="000000"/>
          <w:shd w:fill="auto" w:val="clear"/>
        </w:rPr>
        <w:t>Figura 1</w:t>
      </w:r>
      <w:r>
        <w:rPr>
          <w:rFonts w:eastAsia="Google Sans" w:cs="Google Sans" w:ascii="Google Sans" w:hAnsi="Google Sans"/>
          <w:b/>
          <w:bCs/>
          <w:color w:val="000000"/>
          <w:shd w:fill="auto" w:val="clear"/>
        </w:rPr>
        <w:t>.</w:t>
      </w:r>
      <w:r>
        <w:rPr>
          <w:rFonts w:eastAsia="Google Sans" w:cs="Google Sans" w:ascii="Google Sans" w:hAnsi="Google Sans"/>
          <w:color w:val="000000"/>
          <w:shd w:fill="auto" w:val="clear"/>
        </w:rPr>
        <w:t xml:space="preserve"> Diagrama Entidad-Relación conceptual para el sistema Food Store, detallando entidades, claves primarias (</w:t>
      </w:r>
      <w:r>
        <w:rPr>
          <w:rFonts w:eastAsia="Roboto Mono" w:cs="Roboto Mono" w:ascii="Roboto Mono" w:hAnsi="Roboto Mono"/>
          <w:color w:val="000000"/>
          <w:shd w:fill="auto" w:val="clear"/>
        </w:rPr>
        <w:t>PK</w:t>
      </w:r>
      <w:r>
        <w:rPr>
          <w:rFonts w:eastAsia="Google Sans" w:cs="Google Sans" w:ascii="Google Sans" w:hAnsi="Google Sans"/>
          <w:color w:val="000000"/>
          <w:shd w:fill="auto" w:val="clear"/>
        </w:rPr>
        <w:t>), claves foráneas (</w:t>
      </w:r>
      <w:r>
        <w:rPr>
          <w:rFonts w:eastAsia="Roboto Mono" w:cs="Roboto Mono" w:ascii="Roboto Mono" w:hAnsi="Roboto Mono"/>
          <w:color w:val="000000"/>
          <w:shd w:fill="auto" w:val="clear"/>
        </w:rPr>
        <w:t>FK</w:t>
      </w:r>
      <w:r>
        <w:rPr>
          <w:rFonts w:eastAsia="Google Sans" w:cs="Google Sans" w:ascii="Google Sans" w:hAnsi="Google Sans"/>
          <w:color w:val="000000"/>
          <w:shd w:fill="auto" w:val="clear"/>
        </w:rPr>
        <w:t xml:space="preserve">), atributos atómicos y relaciones de cardinalidad </w:t>
      </w:r>
    </w:p>
    <w:p>
      <w:pPr>
        <w:pStyle w:val="normal1"/>
        <w:numPr>
          <w:ilvl w:val="1"/>
          <w:numId w:val="10"/>
        </w:numPr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/>
        <w:drawing>
          <wp:inline distT="0" distB="0" distL="0" distR="0">
            <wp:extent cx="4333875" cy="7448550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44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8"/>
        </w:numPr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Normalización y Derivación Relacional:</w:t>
      </w:r>
    </w:p>
    <w:p>
      <w:pPr>
        <w:pStyle w:val="normal1"/>
        <w:numPr>
          <w:ilvl w:val="1"/>
          <w:numId w:val="11"/>
        </w:numPr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Transformación de una planilla de datos históricos desnormalizada hacia un modelo relacional en BCNF (Forma Normal de Boyce-Codd).</w:t>
      </w:r>
    </w:p>
    <w:p>
      <w:pPr>
        <w:pStyle w:val="normal1"/>
        <w:numPr>
          <w:ilvl w:val="1"/>
          <w:numId w:val="11"/>
        </w:numPr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Justificación de dependencias funcionales para eliminar redundancias y evitar anomalías de actualización o borrado (pasando progresivamente de 1FN a 2FN, 3FN y BCNF).</w:t>
      </w:r>
    </w:p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1"/>
        <w:tblW w:w="316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3165"/>
      </w:tblGrid>
      <w:tr>
        <w:trPr>
          <w:trHeight w:val="270" w:hRule="atLeast"/>
        </w:trPr>
        <w:tc>
          <w:tcPr>
            <w:tcW w:w="3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nombre_usuario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apellido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mail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celular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contraseña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rol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tbl>
      <w:tblPr>
        <w:tblStyle w:val="Table2"/>
        <w:tblW w:w="289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895"/>
      </w:tblGrid>
      <w:tr>
        <w:trPr>
          <w:trHeight w:val="270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nombre_categoria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descripcion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tbl>
      <w:tblPr>
        <w:tblStyle w:val="Table3"/>
        <w:tblW w:w="289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895"/>
      </w:tblGrid>
      <w:tr>
        <w:trPr>
          <w:trHeight w:val="270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PEDIDO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id_pedido (PK)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fecha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Id_usuario (FK)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forma_pago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tbl>
      <w:tblPr>
        <w:tblStyle w:val="Table4"/>
        <w:tblW w:w="2610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610"/>
      </w:tblGrid>
      <w:tr>
        <w:trPr>
          <w:trHeight w:val="270" w:hRule="atLeast"/>
        </w:trPr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PRODUCTO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id_producto (PK)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nombre_producto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precio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descripcion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stock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imagen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disponible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Id_categoria (FK)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created_at</w:t>
            </w:r>
          </w:p>
        </w:tc>
      </w:tr>
    </w:tbl>
    <w:p>
      <w:pPr>
        <w:pStyle w:val="normal1"/>
        <w:spacing w:lineRule="auto" w:line="276" w:before="0" w:after="200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 xml:space="preserve"> </w:t>
      </w:r>
    </w:p>
    <w:tbl>
      <w:tblPr>
        <w:tblStyle w:val="Table5"/>
        <w:tblW w:w="274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745"/>
      </w:tblGrid>
      <w:tr>
        <w:trPr>
          <w:trHeight w:val="270" w:hRule="atLeast"/>
        </w:trPr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DETALLE_PEDIDO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id_detalle (PK)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cantidad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precio_unitario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subtotal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id_pedido (FK)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id_producto (FK)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color w:val="000000"/>
              </w:rPr>
            </w:pPr>
            <w:r>
              <w:rPr>
                <w:rFonts w:eastAsia="Google Sans" w:cs="Google Sans" w:ascii="Google Sans" w:hAnsi="Google Sans"/>
                <w:color w:val="000000"/>
              </w:rPr>
              <w:t>created_at</w:t>
            </w:r>
          </w:p>
        </w:tc>
      </w:tr>
    </w:tbl>
    <w:p>
      <w:pPr>
        <w:pStyle w:val="normal1"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normal1"/>
        <w:numPr>
          <w:ilvl w:val="0"/>
          <w:numId w:val="8"/>
        </w:numPr>
        <w:shd w:val="clear" w:fill="auto"/>
        <w:spacing w:lineRule="auto" w:line="276"/>
        <w:ind w:hanging="360" w:start="590"/>
        <w:rPr>
          <w:rFonts w:ascii="Calibri" w:hAnsi="Calibri"/>
          <w:b/>
          <w:bCs/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DDL Inicial y Esquema en PostgreSQL (schema.sql):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Creación de tipos enumerados (rol_usuario, estado_pedido, forma_pago).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Estructura de tablas mediante tipos de datos precisos (GENERATED ALWAYS AS IDENTITY, VARCHAR, NUMERIC, TIMESTAMPTZ).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Definición de reglas de integridad referencial y de dominio mediante CHECK (precios =&gt; 0, stock =&gt; 0, cantidad &gt; 0), UNIQUE (mail, nombre_categoria, e id_pedido + id_producto) y comportamientos de claves foráneas (ON DELETE RESTRICT / CASCADE).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Implementación del estándar de borrado lógico (</w:t>
      </w:r>
      <w:r>
        <w:rPr>
          <w:rFonts w:eastAsia="Google Sans" w:cs="Google Sans" w:ascii="Google Sans" w:hAnsi="Google Sans"/>
          <w:i/>
          <w:iCs/>
          <w:color w:val="000000"/>
        </w:rPr>
        <w:t>soft delete</w:t>
      </w:r>
      <w:r>
        <w:rPr>
          <w:rFonts w:eastAsia="Google Sans" w:cs="Google Sans" w:ascii="Google Sans" w:hAnsi="Google Sans"/>
          <w:color w:val="000000"/>
        </w:rPr>
        <w:t>) mediante la bandera eliminado BOOLEAN.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Creación de índices iniciales e índices parciales filtrados (WHERE eliminado = FALSE)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2.</w:t>
      </w:r>
      <w:r>
        <w:rPr>
          <w:rFonts w:eastAsia="Google Sans" w:cs="Google Sans" w:ascii="Google Sans" w:hAnsi="Google Sans"/>
          <w:color w:val="000000"/>
        </w:rPr>
        <w:t xml:space="preserve"> Árbol de objetos en el SGBD PostgreSQL mostrando la creación de las tablas del sistema Food Store en el esquema </w:t>
      </w:r>
      <w:r>
        <w:rPr>
          <w:rFonts w:eastAsia="Roboto Mono" w:cs="Roboto Mono" w:ascii="Roboto Mono" w:hAnsi="Roboto Mono"/>
          <w:color w:val="000000"/>
        </w:rPr>
        <w:t>public</w:t>
      </w:r>
      <w:r>
        <w:rPr>
          <w:rFonts w:eastAsia="Google Sans" w:cs="Google Sans" w:ascii="Google Sans" w:hAnsi="Google Sans"/>
          <w:color w:val="000000"/>
        </w:rPr>
        <w:t xml:space="preserve">. </w:t>
      </w:r>
    </w:p>
    <w:p>
      <w:pPr>
        <w:pStyle w:val="normal1"/>
        <w:shd w:val="clear" w:fill="auto"/>
        <w:spacing w:lineRule="auto" w:line="276"/>
        <w:ind w:hanging="0" w:start="641"/>
        <w:rPr>
          <w:color w:val="000000"/>
        </w:rPr>
      </w:pPr>
      <w:r>
        <w:rPr>
          <w:color w:val="000000"/>
        </w:rPr>
        <w:drawing>
          <wp:inline distT="0" distB="0" distL="0" distR="0">
            <wp:extent cx="2867025" cy="15716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spacing w:lineRule="auto" w:line="276"/>
        <w:ind w:hanging="0" w:start="641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3.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 xml:space="preserve">Detalle de columnas de la entidad </w:t>
      </w:r>
      <w:r>
        <w:rPr>
          <w:rFonts w:eastAsia="Roboto Mono" w:cs="Roboto Mono" w:ascii="Roboto Mono" w:hAnsi="Roboto Mono"/>
          <w:color w:val="000000"/>
        </w:rPr>
        <w:t>producto</w:t>
      </w:r>
      <w:r>
        <w:rPr>
          <w:rFonts w:eastAsia="Google Sans" w:cs="Google Sans" w:ascii="Google Sans" w:hAnsi="Google Sans"/>
          <w:color w:val="000000"/>
        </w:rPr>
        <w:t xml:space="preserve">, evidenciando la tipificación de datos, la marca de tiempo </w:t>
      </w:r>
      <w:r>
        <w:rPr>
          <w:rFonts w:eastAsia="Roboto Mono" w:cs="Roboto Mono" w:ascii="Roboto Mono" w:hAnsi="Roboto Mono"/>
          <w:color w:val="000000"/>
        </w:rPr>
        <w:t>TIMESTAMPTZ</w:t>
      </w:r>
      <w:r>
        <w:rPr>
          <w:rFonts w:eastAsia="Google Sans" w:cs="Google Sans" w:ascii="Google Sans" w:hAnsi="Google Sans"/>
          <w:color w:val="000000"/>
        </w:rPr>
        <w:t xml:space="preserve"> y la columna </w:t>
      </w:r>
      <w:r>
        <w:rPr>
          <w:rFonts w:eastAsia="Roboto Mono" w:cs="Roboto Mono" w:ascii="Roboto Mono" w:hAnsi="Roboto Mono"/>
          <w:color w:val="000000"/>
        </w:rPr>
        <w:t>eliminado</w:t>
      </w:r>
      <w:r>
        <w:rPr>
          <w:rFonts w:eastAsia="Google Sans" w:cs="Google Sans" w:ascii="Google Sans" w:hAnsi="Google Sans"/>
          <w:color w:val="000000"/>
        </w:rPr>
        <w:t xml:space="preserve"> para borrado lógico. </w:t>
      </w:r>
    </w:p>
    <w:p>
      <w:pPr>
        <w:pStyle w:val="normal1"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normal1"/>
        <w:shd w:val="clear" w:fill="auto"/>
        <w:spacing w:lineRule="auto" w:line="276"/>
        <w:ind w:hanging="0" w:start="641"/>
        <w:rPr>
          <w:color w:val="000000"/>
        </w:rPr>
      </w:pPr>
      <w:r>
        <w:rPr>
          <w:color w:val="000000"/>
        </w:rPr>
        <w:drawing>
          <wp:inline distT="0" distB="0" distL="0" distR="0">
            <wp:extent cx="3700145" cy="2336165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spacing w:lineRule="auto" w:line="276"/>
        <w:ind w:hanging="0" w:start="641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3.</w:t>
      </w:r>
      <w:r>
        <w:rPr>
          <w:rFonts w:eastAsia="Google Sans" w:cs="Google Sans" w:ascii="Google Sans" w:hAnsi="Google Sans"/>
          <w:color w:val="000000"/>
        </w:rPr>
        <w:t xml:space="preserve"> Árbol de restricciones (</w:t>
      </w:r>
      <w:r>
        <w:rPr>
          <w:rFonts w:eastAsia="Roboto Mono" w:cs="Roboto Mono" w:ascii="Roboto Mono" w:hAnsi="Roboto Mono"/>
          <w:color w:val="000000"/>
        </w:rPr>
        <w:t>CHECK</w:t>
      </w:r>
      <w:r>
        <w:rPr>
          <w:rFonts w:eastAsia="Google Sans" w:cs="Google Sans" w:ascii="Google Sans" w:hAnsi="Google Sans"/>
          <w:color w:val="000000"/>
        </w:rPr>
        <w:t xml:space="preserve">, </w:t>
      </w:r>
      <w:r>
        <w:rPr>
          <w:rFonts w:eastAsia="Roboto Mono" w:cs="Roboto Mono" w:ascii="Roboto Mono" w:hAnsi="Roboto Mono"/>
          <w:color w:val="000000"/>
        </w:rPr>
        <w:t>NOT NULL</w:t>
      </w:r>
      <w:r>
        <w:rPr>
          <w:rFonts w:eastAsia="Google Sans" w:cs="Google Sans" w:ascii="Google Sans" w:hAnsi="Google Sans"/>
          <w:color w:val="000000"/>
        </w:rPr>
        <w:t xml:space="preserve">, </w:t>
      </w:r>
      <w:r>
        <w:rPr>
          <w:rFonts w:eastAsia="Roboto Mono" w:cs="Roboto Mono" w:ascii="Roboto Mono" w:hAnsi="Roboto Mono"/>
          <w:color w:val="000000"/>
        </w:rPr>
        <w:t>PK</w:t>
      </w:r>
      <w:r>
        <w:rPr>
          <w:rFonts w:eastAsia="Google Sans" w:cs="Google Sans" w:ascii="Google Sans" w:hAnsi="Google Sans"/>
          <w:color w:val="000000"/>
        </w:rPr>
        <w:t xml:space="preserve">) aplicadas sobre la entidad </w:t>
      </w:r>
      <w:r>
        <w:rPr>
          <w:rFonts w:eastAsia="Roboto Mono" w:cs="Roboto Mono" w:ascii="Roboto Mono" w:hAnsi="Roboto Mono"/>
          <w:color w:val="000000"/>
        </w:rPr>
        <w:t>producto</w:t>
      </w:r>
      <w:r>
        <w:rPr>
          <w:rFonts w:eastAsia="Google Sans" w:cs="Google Sans" w:ascii="Google Sans" w:hAnsi="Google Sans"/>
          <w:color w:val="000000"/>
        </w:rPr>
        <w:t xml:space="preserve"> para preservar la integridad de dominio en el SGBD. </w:t>
      </w:r>
    </w:p>
    <w:p>
      <w:pPr>
        <w:pStyle w:val="normal1"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normal1"/>
        <w:shd w:val="clear" w:fill="auto"/>
        <w:spacing w:lineRule="auto" w:line="276"/>
        <w:ind w:hanging="0" w:start="641"/>
        <w:rPr>
          <w:color w:val="000000"/>
        </w:rPr>
      </w:pPr>
      <w:r>
        <w:rPr>
          <w:color w:val="000000"/>
        </w:rPr>
        <w:drawing>
          <wp:inline distT="0" distB="0" distL="0" distR="0">
            <wp:extent cx="3491230" cy="244094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Google Sans" w:cs="Google Sans" w:ascii="Google Sans" w:hAnsi="Google Sans"/>
          <w:color w:val="000000"/>
        </w:rPr>
        <w:t>.</w:t>
      </w:r>
    </w:p>
    <w:p>
      <w:pPr>
        <w:pStyle w:val="Heading1"/>
        <w:shd w:val="clear" w:fill="auto"/>
        <w:spacing w:lineRule="auto" w:line="276" w:before="0" w:after="0"/>
        <w:rPr>
          <w:rFonts w:ascii="Calibri" w:hAnsi="Calibri"/>
          <w:color w:val="000000"/>
          <w:sz w:val="30"/>
          <w:szCs w:val="30"/>
        </w:rPr>
      </w:pPr>
      <w:r>
        <w:rPr>
          <w:rFonts w:eastAsia="Google Sans" w:cs="Google Sans" w:ascii="Calibri" w:hAnsi="Calibri"/>
          <w:b/>
          <w:i w:val="false"/>
          <w:color w:val="000000"/>
          <w:sz w:val="30"/>
          <w:szCs w:val="30"/>
        </w:rPr>
        <w:t>2. Cómo probamos su funcionamiento</w:t>
      </w:r>
    </w:p>
    <w:p>
      <w:pPr>
        <w:pStyle w:val="normal1"/>
        <w:numPr>
          <w:ilvl w:val="0"/>
          <w:numId w:val="13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Sintaxis y compilación en SGBD: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>Ejecución directa del script schema.sql sobre una instancia de PostgreSQL para verificar que no existieran errores de sintaxis, dependencias de claves foráneas mal ordenadas o tipos incompatibles.</w:t>
      </w:r>
    </w:p>
    <w:p>
      <w:pPr>
        <w:pStyle w:val="normal1"/>
        <w:numPr>
          <w:ilvl w:val="0"/>
          <w:numId w:val="13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Validación de restricciones:</w:t>
      </w:r>
      <w:r>
        <w:rPr>
          <w:rFonts w:eastAsia="Google Sans" w:cs="Google Sans" w:ascii="Calibri" w:hAnsi="Calibri"/>
          <w:b/>
          <w:bCs/>
          <w:color w:val="000000"/>
        </w:rPr>
        <w:t xml:space="preserve"> I</w:t>
      </w:r>
      <w:r>
        <w:rPr>
          <w:rFonts w:eastAsia="Google Sans" w:cs="Google Sans" w:ascii="Google Sans" w:hAnsi="Google Sans"/>
          <w:color w:val="000000"/>
        </w:rPr>
        <w:t>nserción de filas de prueba para constatar que las restricciones CHECK impidan valores inválidos (por ejemplo, stock o precios negativos) y que la restricción UNIQUE evite duplicados en correos o líneas de detalle repetidas para un mismo pedido.</w:t>
      </w:r>
    </w:p>
    <w:p>
      <w:pPr>
        <w:pStyle w:val="normal1"/>
        <w:shd w:val="clear" w:fill="auto"/>
        <w:spacing w:lineRule="auto" w:line="276"/>
        <w:ind w:hanging="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4.</w:t>
      </w:r>
      <w:r>
        <w:rPr>
          <w:rFonts w:eastAsia="Google Sans" w:cs="Google Sans" w:ascii="Google Sans" w:hAnsi="Google Sans"/>
          <w:color w:val="000000"/>
        </w:rPr>
        <w:t xml:space="preserve"> </w:t>
      </w:r>
      <w:r>
        <w:rPr>
          <w:rFonts w:eastAsia="Google Sans" w:cs="Google Sans" w:ascii="Google Sans" w:hAnsi="Google Sans"/>
          <w:i/>
          <w:iCs/>
          <w:color w:val="000000"/>
        </w:rPr>
        <w:t xml:space="preserve">Prueba de la restricción </w:t>
      </w:r>
      <w:r>
        <w:rPr>
          <w:rFonts w:eastAsia="Roboto Mono" w:cs="Roboto Mono" w:ascii="Roboto Mono" w:hAnsi="Roboto Mono"/>
          <w:i/>
          <w:iCs/>
          <w:color w:val="000000"/>
        </w:rPr>
        <w:t>CHECK</w:t>
      </w:r>
      <w:r>
        <w:rPr>
          <w:rFonts w:eastAsia="Google Sans" w:cs="Google Sans" w:ascii="Google Sans" w:hAnsi="Google Sans"/>
          <w:i/>
          <w:iCs/>
          <w:color w:val="000000"/>
        </w:rPr>
        <w:t xml:space="preserve"> (</w:t>
      </w:r>
      <w:r>
        <w:rPr>
          <w:rFonts w:eastAsia="Roboto Mono" w:cs="Roboto Mono" w:ascii="Roboto Mono" w:hAnsi="Roboto Mono"/>
          <w:i/>
          <w:iCs/>
          <w:color w:val="000000"/>
        </w:rPr>
        <w:t>producto_precio_check</w:t>
      </w:r>
      <w:r>
        <w:rPr>
          <w:rFonts w:eastAsia="Google Sans" w:cs="Google Sans" w:ascii="Google Sans" w:hAnsi="Google Sans"/>
          <w:i/>
          <w:iCs/>
          <w:color w:val="000000"/>
        </w:rPr>
        <w:t>) mediante el intento de inserción de un precio negativo (</w:t>
      </w:r>
      <w:r>
        <w:rPr>
          <w:rFonts w:eastAsia="Roboto Mono" w:cs="Roboto Mono" w:ascii="Roboto Mono" w:hAnsi="Roboto Mono"/>
          <w:i/>
          <w:iCs/>
          <w:color w:val="000000"/>
        </w:rPr>
        <w:t>-150.00</w:t>
      </w:r>
      <w:r>
        <w:rPr>
          <w:rFonts w:eastAsia="Google Sans" w:cs="Google Sans" w:ascii="Google Sans" w:hAnsi="Google Sans"/>
          <w:i/>
          <w:iCs/>
          <w:color w:val="000000"/>
        </w:rPr>
        <w:t>), evidenciando el bloqueo de la operación por parte del SGBD para preservar la integridad de los datos.</w:t>
      </w:r>
      <w:r>
        <w:rPr>
          <w:rFonts w:eastAsia="Google Sans" w:cs="Google Sans" w:ascii="Google Sans" w:hAnsi="Google Sans"/>
          <w:color w:val="000000"/>
        </w:rPr>
        <w:t xml:space="preserve"> </w:t>
      </w:r>
    </w:p>
    <w:p>
      <w:pPr>
        <w:pStyle w:val="normal1"/>
        <w:shd w:val="clear" w:fill="auto"/>
        <w:spacing w:lineRule="auto" w:line="276"/>
        <w:ind w:hanging="0" w:start="590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266700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auto"/>
        <w:spacing w:lineRule="auto" w:line="276" w:before="0" w:after="0"/>
        <w:jc w:val="center"/>
        <w:rPr>
          <w:color w:val="000000"/>
        </w:rPr>
      </w:pPr>
      <w:r>
        <w:rPr>
          <w:b w:val="false"/>
          <w:i/>
          <w:color w:val="000000"/>
          <w:sz w:val="20"/>
          <w:szCs w:val="22"/>
        </w:rPr>
        <w:t>Figura 5</w:t>
      </w:r>
      <w:r>
        <w:rPr>
          <w:b w:val="false"/>
          <w:bCs w:val="false"/>
          <w:i/>
          <w:color w:val="000000"/>
          <w:sz w:val="20"/>
          <w:szCs w:val="22"/>
        </w:rPr>
        <w:t xml:space="preserve">. Prueba de la restricción de unicidad </w:t>
      </w:r>
      <w:r>
        <w:rPr>
          <w:b w:val="false"/>
          <w:bCs w:val="false"/>
          <w:i/>
          <w:color w:val="000000"/>
          <w:sz w:val="20"/>
          <w:szCs w:val="22"/>
        </w:rPr>
        <w:t>UNIQUE</w:t>
      </w:r>
      <w:r>
        <w:rPr>
          <w:b w:val="false"/>
          <w:bCs w:val="false"/>
          <w:i/>
          <w:color w:val="000000"/>
          <w:sz w:val="20"/>
          <w:szCs w:val="22"/>
        </w:rPr>
        <w:t xml:space="preserve"> (</w:t>
      </w:r>
      <w:r>
        <w:rPr>
          <w:b w:val="false"/>
          <w:bCs w:val="false"/>
          <w:i/>
          <w:color w:val="000000"/>
          <w:sz w:val="20"/>
          <w:szCs w:val="22"/>
        </w:rPr>
        <w:t>usuario_mail_key</w:t>
      </w:r>
      <w:r>
        <w:rPr>
          <w:b w:val="false"/>
          <w:bCs w:val="false"/>
          <w:i/>
          <w:color w:val="000000"/>
          <w:sz w:val="20"/>
          <w:szCs w:val="22"/>
        </w:rPr>
        <w:t>) mediante el intento de inserción de un usuario con un correo electrónico previamente registrado (</w:t>
      </w:r>
      <w:r>
        <w:rPr>
          <w:b w:val="false"/>
          <w:bCs w:val="false"/>
          <w:i/>
          <w:color w:val="000000"/>
          <w:sz w:val="20"/>
          <w:szCs w:val="22"/>
        </w:rPr>
        <w:t>usuario@prueba.com</w:t>
      </w:r>
      <w:r>
        <w:rPr>
          <w:b w:val="false"/>
          <w:bCs w:val="false"/>
          <w:i/>
          <w:color w:val="000000"/>
          <w:sz w:val="20"/>
          <w:szCs w:val="22"/>
        </w:rPr>
        <w:t>), evidenciando el bloqueo automático de PostgreSQL para garantizar que no existan cuentas duplicadas</w:t>
      </w:r>
      <w:r>
        <w:rPr>
          <w:b w:val="false"/>
          <w:i/>
          <w:color w:val="000000"/>
          <w:sz w:val="20"/>
        </w:rPr>
        <w:t xml:space="preserve">. </w:t>
      </w:r>
    </w:p>
    <w:p>
      <w:pPr>
        <w:pStyle w:val="Heading3"/>
        <w:numPr>
          <w:ilvl w:val="0"/>
          <w:numId w:val="14"/>
        </w:numPr>
        <w:spacing w:lineRule="auto" w:line="276" w:before="0" w:after="0"/>
        <w:ind w:hanging="360" w:start="590"/>
        <w:rPr>
          <w:color w:val="000000"/>
        </w:rPr>
      </w:pPr>
      <w:bookmarkStart w:id="0" w:name="_haagm16v73se"/>
      <w:bookmarkEnd w:id="0"/>
      <w:r>
        <w:rPr>
          <w:color w:val="000000"/>
        </w:rPr>
        <w:drawing>
          <wp:inline distT="0" distB="0" distL="0" distR="0">
            <wp:extent cx="5943600" cy="2057400"/>
            <wp:effectExtent l="0" t="0" r="0" b="0"/>
            <wp:docPr id="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normal1"/>
        <w:spacing w:lineRule="auto" w:line="276"/>
        <w:ind w:hanging="0" w:start="590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234950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ind w:hanging="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6.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i/>
          <w:iCs/>
          <w:color w:val="000000"/>
        </w:rPr>
        <w:t xml:space="preserve">Prueba de integridad referencial </w:t>
      </w:r>
      <w:r>
        <w:rPr>
          <w:rFonts w:eastAsia="Roboto Mono" w:cs="Roboto Mono" w:ascii="Roboto Mono" w:hAnsi="Roboto Mono"/>
          <w:i/>
          <w:iCs/>
          <w:color w:val="000000"/>
        </w:rPr>
        <w:t>ON DELETE RESTRICT</w:t>
      </w:r>
      <w:r>
        <w:rPr>
          <w:rFonts w:eastAsia="Google Sans" w:cs="Google Sans" w:ascii="Google Sans" w:hAnsi="Google Sans"/>
          <w:i/>
          <w:iCs/>
          <w:color w:val="000000"/>
        </w:rPr>
        <w:t xml:space="preserve"> sobre la clave foránea </w:t>
      </w:r>
      <w:r>
        <w:rPr>
          <w:rFonts w:eastAsia="Roboto Mono" w:cs="Roboto Mono" w:ascii="Roboto Mono" w:hAnsi="Roboto Mono"/>
          <w:i/>
          <w:iCs/>
          <w:color w:val="000000"/>
        </w:rPr>
        <w:t>producto_id_categoria_fkey</w:t>
      </w:r>
      <w:r>
        <w:rPr>
          <w:rFonts w:eastAsia="Google Sans" w:cs="Google Sans" w:ascii="Google Sans" w:hAnsi="Google Sans"/>
          <w:i/>
          <w:iCs/>
          <w:color w:val="000000"/>
        </w:rPr>
        <w:t>, evidenciando que el SGBD bloquea la eliminación física de una categoría activa (</w:t>
      </w:r>
      <w:r>
        <w:rPr>
          <w:rFonts w:eastAsia="Roboto Mono" w:cs="Roboto Mono" w:ascii="Roboto Mono" w:hAnsi="Roboto Mono"/>
          <w:i/>
          <w:iCs/>
          <w:color w:val="000000"/>
        </w:rPr>
        <w:t>id_categoria = 1</w:t>
      </w:r>
      <w:r>
        <w:rPr>
          <w:rFonts w:eastAsia="Google Sans" w:cs="Google Sans" w:ascii="Google Sans" w:hAnsi="Google Sans"/>
          <w:i/>
          <w:iCs/>
          <w:color w:val="000000"/>
        </w:rPr>
        <w:t>) que posee productos asociados para evitar datos huérfanos.</w:t>
      </w:r>
      <w:r>
        <w:rPr>
          <w:rFonts w:eastAsia="Google Sans" w:cs="Google Sans" w:ascii="Google Sans" w:hAnsi="Google Sans"/>
          <w:color w:val="000000"/>
        </w:rPr>
        <w:t xml:space="preserve"> </w:t>
      </w:r>
    </w:p>
    <w:p>
      <w:pPr>
        <w:pStyle w:val="normal1"/>
        <w:spacing w:lineRule="auto" w:line="276"/>
        <w:ind w:hanging="0" w:start="590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2552700"/>
            <wp:effectExtent l="0" t="0" r="0" b="0"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hd w:val="clear" w:fill="auto"/>
        <w:spacing w:lineRule="auto" w:line="276" w:before="0" w:after="0"/>
        <w:rPr>
          <w:rFonts w:ascii="Calibri" w:hAnsi="Calibri"/>
          <w:color w:val="000000"/>
          <w:sz w:val="30"/>
          <w:szCs w:val="30"/>
        </w:rPr>
      </w:pPr>
      <w:r>
        <w:rPr>
          <w:rFonts w:eastAsia="Google Sans" w:cs="Google Sans" w:ascii="Calibri" w:hAnsi="Calibri"/>
          <w:b/>
          <w:i w:val="false"/>
          <w:color w:val="000000"/>
          <w:sz w:val="30"/>
          <w:szCs w:val="30"/>
        </w:rPr>
        <w:t>3. Qué resultados obtuvimos</w:t>
      </w:r>
    </w:p>
    <w:p>
      <w:pPr>
        <w:pStyle w:val="normal1"/>
        <w:numPr>
          <w:ilvl w:val="0"/>
          <w:numId w:val="14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Un esquema de base de datos relacional robusto, consistente y libre de redundancias (normalizado hasta BCNF).</w:t>
      </w:r>
    </w:p>
    <w:p>
      <w:pPr>
        <w:pStyle w:val="normal1"/>
        <w:numPr>
          <w:ilvl w:val="0"/>
          <w:numId w:val="14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>Un script DDL funcional y modularizado (schema.sql) listo para servir como cimiento sobre el cual construir los objetos avanzados del TP 2 (funciones, vistas, triggers y transacciones).</w:t>
      </w:r>
    </w:p>
    <w:p>
      <w:pPr>
        <w:pStyle w:val="normal1"/>
        <w:numPr>
          <w:ilvl w:val="0"/>
          <w:numId w:val="14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7.</w:t>
      </w:r>
      <w:r>
        <w:rPr>
          <w:rFonts w:eastAsia="Google Sans" w:cs="Google Sans" w:ascii="Google Sans" w:hAnsi="Google Sans"/>
          <w:color w:val="000000"/>
        </w:rPr>
        <w:t xml:space="preserve"> Ejecución de la consulta </w:t>
      </w:r>
      <w:r>
        <w:rPr>
          <w:rFonts w:eastAsia="Roboto Mono" w:cs="Roboto Mono" w:ascii="Roboto Mono" w:hAnsi="Roboto Mono"/>
          <w:color w:val="000000"/>
        </w:rPr>
        <w:t>SELECT * FROM producto;</w:t>
      </w:r>
      <w:r>
        <w:rPr>
          <w:rFonts w:eastAsia="Google Sans" w:cs="Google Sans" w:ascii="Google Sans" w:hAnsi="Google Sans"/>
          <w:color w:val="000000"/>
        </w:rPr>
        <w:t>, evidenciando el correcto almacenamiento de los registros de prueba y la aplicación automática de los valores por defecto definidos en el DDL (</w:t>
      </w:r>
      <w:r>
        <w:rPr>
          <w:rFonts w:eastAsia="Roboto Mono" w:cs="Roboto Mono" w:ascii="Roboto Mono" w:hAnsi="Roboto Mono"/>
          <w:color w:val="000000"/>
        </w:rPr>
        <w:t>disponible = TRUE</w:t>
      </w:r>
      <w:r>
        <w:rPr>
          <w:rFonts w:eastAsia="Google Sans" w:cs="Google Sans" w:ascii="Google Sans" w:hAnsi="Google Sans"/>
          <w:color w:val="000000"/>
        </w:rPr>
        <w:t xml:space="preserve">, </w:t>
      </w:r>
      <w:r>
        <w:rPr>
          <w:rFonts w:eastAsia="Roboto Mono" w:cs="Roboto Mono" w:ascii="Roboto Mono" w:hAnsi="Roboto Mono"/>
          <w:color w:val="000000"/>
        </w:rPr>
        <w:t>eliminado = FALSE</w:t>
      </w:r>
      <w:r>
        <w:rPr>
          <w:rFonts w:eastAsia="Google Sans" w:cs="Google Sans" w:ascii="Google Sans" w:hAnsi="Google Sans"/>
          <w:color w:val="000000"/>
        </w:rPr>
        <w:t xml:space="preserve"> y </w:t>
      </w:r>
      <w:r>
        <w:rPr>
          <w:rFonts w:eastAsia="Roboto Mono" w:cs="Roboto Mono" w:ascii="Roboto Mono" w:hAnsi="Roboto Mono"/>
          <w:color w:val="000000"/>
        </w:rPr>
        <w:t>created_at</w:t>
      </w:r>
      <w:r>
        <w:rPr>
          <w:rFonts w:eastAsia="Google Sans" w:cs="Google Sans" w:ascii="Google Sans" w:hAnsi="Google Sans"/>
          <w:color w:val="000000"/>
        </w:rPr>
        <w:t xml:space="preserve"> con </w:t>
      </w:r>
      <w:r>
        <w:rPr>
          <w:rFonts w:eastAsia="Roboto Mono" w:cs="Roboto Mono" w:ascii="Roboto Mono" w:hAnsi="Roboto Mono"/>
          <w:color w:val="000000"/>
        </w:rPr>
        <w:t>TIMESTAMPTZ</w:t>
      </w:r>
      <w:r>
        <w:rPr>
          <w:rFonts w:eastAsia="Google Sans" w:cs="Google Sans" w:ascii="Google Sans" w:hAnsi="Google Sans"/>
          <w:color w:val="000000"/>
        </w:rPr>
        <w:t xml:space="preserve">). </w:t>
      </w:r>
    </w:p>
    <w:p>
      <w:pPr>
        <w:pStyle w:val="normal1"/>
        <w:shd w:val="clear" w:fill="auto"/>
        <w:spacing w:lineRule="auto" w:line="276"/>
        <w:ind w:hanging="0" w:start="590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2844800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normal1"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000000"/>
        </w:rPr>
      </w:pPr>
      <w:r>
        <w:rPr>
          <w:rFonts w:eastAsia="Google Sans" w:cs="Google Sans" w:ascii="Google Sans" w:hAnsi="Google Sans"/>
          <w:color w:val="000000"/>
        </w:rPr>
      </w:r>
    </w:p>
    <w:p>
      <w:pPr>
        <w:pStyle w:val="Heading1"/>
        <w:shd w:val="clear" w:fill="auto"/>
        <w:spacing w:lineRule="auto" w:line="276" w:before="0" w:after="0"/>
        <w:rPr>
          <w:rFonts w:ascii="Calibri" w:hAnsi="Calibri"/>
          <w:color w:val="000000"/>
          <w:sz w:val="30"/>
          <w:szCs w:val="30"/>
        </w:rPr>
      </w:pPr>
      <w:r>
        <w:rPr>
          <w:rFonts w:eastAsia="Google Sans" w:cs="Google Sans" w:ascii="Calibri" w:hAnsi="Calibri"/>
          <w:b/>
          <w:i w:val="false"/>
          <w:color w:val="000000"/>
          <w:sz w:val="30"/>
          <w:szCs w:val="30"/>
        </w:rPr>
        <w:t>4. Qué consultas optimizaron y qué diferencias encontraron antes y después</w:t>
      </w:r>
    </w:p>
    <w:p>
      <w:pPr>
        <w:pStyle w:val="normal1"/>
        <w:numPr>
          <w:ilvl w:val="0"/>
          <w:numId w:val="15"/>
        </w:numPr>
        <w:shd w:val="clear" w:fill="auto"/>
        <w:spacing w:lineRule="auto" w:line="276"/>
        <w:ind w:hanging="360" w:start="590"/>
        <w:rPr>
          <w:rFonts w:ascii="Calibri" w:hAnsi="Calibri"/>
          <w:b/>
          <w:bCs/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Optimización en el diseño de índices:</w:t>
      </w:r>
    </w:p>
    <w:p>
      <w:pPr>
        <w:pStyle w:val="normal1"/>
        <w:numPr>
          <w:ilvl w:val="1"/>
          <w:numId w:val="16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Google Sans" w:hAnsi="Google Sans"/>
          <w:color w:val="000000"/>
        </w:rPr>
        <w:t xml:space="preserve">Se configuró un </w:t>
      </w:r>
      <w:r>
        <w:rPr>
          <w:rFonts w:eastAsia="Google Sans" w:cs="Google Sans" w:ascii="Calibri" w:hAnsi="Calibri"/>
          <w:b/>
          <w:bCs/>
          <w:color w:val="000000"/>
        </w:rPr>
        <w:t>índice parcial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>sobre la tabla producto (CREATE INDEX idx_producto_categoria ON producto(id_categoria) WHERE eliminado = FALSE;).</w:t>
      </w:r>
    </w:p>
    <w:p>
      <w:pPr>
        <w:pStyle w:val="normal1"/>
        <w:numPr>
          <w:ilvl w:val="1"/>
          <w:numId w:val="16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Diferencia observada:</w:t>
      </w:r>
      <w:r>
        <w:rPr>
          <w:rFonts w:eastAsia="Google Sans" w:cs="Google Sans" w:ascii="Google Sans" w:hAnsi="Google Sans"/>
          <w:color w:val="000000"/>
        </w:rPr>
        <w:t xml:space="preserve"> A diferencia de un índice global que mantiene punteros a todos los registros (incluyendo los inactivos/borrados), el índice parcial reduce el tamaño en disco y memoria del árbol de búsqueda B-Tree, optimizando el rendimiento de las lecturas habituales sobre el catálogo activo.</w:t>
      </w:r>
    </w:p>
    <w:p>
      <w:pPr>
        <w:pStyle w:val="normal1"/>
        <w:numPr>
          <w:ilvl w:val="1"/>
          <w:numId w:val="16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Figura 8.</w:t>
      </w:r>
      <w:r>
        <w:rPr>
          <w:rFonts w:eastAsia="Google Sans" w:cs="Google Sans" w:ascii="Google Sans" w:hAnsi="Google Sans"/>
          <w:color w:val="000000"/>
        </w:rPr>
        <w:t xml:space="preserve"> Verificación del índice parcial </w:t>
      </w:r>
      <w:r>
        <w:rPr>
          <w:rFonts w:eastAsia="Roboto Mono" w:cs="Roboto Mono" w:ascii="Roboto Mono" w:hAnsi="Roboto Mono"/>
          <w:color w:val="000000"/>
        </w:rPr>
        <w:t>idx_producto_categoria</w:t>
      </w:r>
      <w:r>
        <w:rPr>
          <w:rFonts w:eastAsia="Google Sans" w:cs="Google Sans" w:ascii="Google Sans" w:hAnsi="Google Sans"/>
          <w:color w:val="000000"/>
        </w:rPr>
        <w:t xml:space="preserve"> mediante la vista de catálogo </w:t>
      </w:r>
      <w:r>
        <w:rPr>
          <w:rFonts w:eastAsia="Roboto Mono" w:cs="Roboto Mono" w:ascii="Roboto Mono" w:hAnsi="Roboto Mono"/>
          <w:color w:val="000000"/>
        </w:rPr>
        <w:t>pg_indexes</w:t>
      </w:r>
      <w:r>
        <w:rPr>
          <w:rFonts w:eastAsia="Google Sans" w:cs="Google Sans" w:ascii="Google Sans" w:hAnsi="Google Sans"/>
          <w:color w:val="000000"/>
        </w:rPr>
        <w:t xml:space="preserve">, donde se evidencia la restricción condicional </w:t>
      </w:r>
      <w:r>
        <w:rPr>
          <w:rFonts w:eastAsia="Roboto Mono" w:cs="Roboto Mono" w:ascii="Roboto Mono" w:hAnsi="Roboto Mono"/>
          <w:color w:val="000000"/>
        </w:rPr>
        <w:t>WHERE (eliminado = false)</w:t>
      </w:r>
      <w:r>
        <w:rPr>
          <w:rFonts w:eastAsia="Google Sans" w:cs="Google Sans" w:ascii="Google Sans" w:hAnsi="Google Sans"/>
          <w:color w:val="000000"/>
        </w:rPr>
        <w:t xml:space="preserve"> que optimiza el tamaño de la estructura B-Tree y acelera las consultas sobre el catálogo de productos activos. </w:t>
      </w:r>
    </w:p>
    <w:p>
      <w:pPr>
        <w:pStyle w:val="normal1"/>
        <w:numPr>
          <w:ilvl w:val="1"/>
          <w:numId w:val="16"/>
        </w:numPr>
        <w:shd w:val="clear" w:fill="auto"/>
        <w:spacing w:lineRule="auto" w:line="276"/>
        <w:ind w:hanging="360" w:start="641"/>
        <w:rPr>
          <w:color w:val="000000"/>
        </w:rPr>
      </w:pPr>
      <w:r>
        <w:rPr>
          <w:color w:val="000000"/>
        </w:rPr>
        <w:drawing>
          <wp:inline distT="0" distB="0" distL="0" distR="0">
            <wp:extent cx="5943600" cy="2882900"/>
            <wp:effectExtent l="0" t="0" r="0" b="0"/>
            <wp:docPr id="1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hd w:val="clear" w:fill="auto"/>
        <w:spacing w:lineRule="auto" w:line="276" w:before="0" w:after="0"/>
        <w:rPr>
          <w:rFonts w:ascii="Calibri" w:hAnsi="Calibri"/>
          <w:color w:val="000000"/>
          <w:sz w:val="30"/>
          <w:szCs w:val="30"/>
        </w:rPr>
      </w:pPr>
      <w:r>
        <w:rPr>
          <w:rFonts w:eastAsia="Google Sans" w:cs="Google Sans" w:ascii="Calibri" w:hAnsi="Calibri"/>
          <w:b/>
          <w:i w:val="false"/>
          <w:color w:val="000000"/>
          <w:sz w:val="30"/>
          <w:szCs w:val="30"/>
        </w:rPr>
        <w:t>5. Uso de herramientas de IA (si aplica)</w:t>
      </w:r>
    </w:p>
    <w:p>
      <w:pPr>
        <w:pStyle w:val="normal1"/>
        <w:numPr>
          <w:ilvl w:val="0"/>
          <w:numId w:val="17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Finalidad: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>Asistencia para la verificación de dependencias funcionales durante el proceso de normalización y el formateo de sintaxis DDL nativa para PostgreSQL.</w:t>
      </w:r>
    </w:p>
    <w:p>
      <w:pPr>
        <w:pStyle w:val="normal1"/>
        <w:numPr>
          <w:ilvl w:val="0"/>
          <w:numId w:val="17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Decisiones aceptadas: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>Uso de tipos enumerados nativos (ENUM) para reemplazar campos de texto libre en estados y roles.</w:t>
      </w:r>
    </w:p>
    <w:p>
      <w:pPr>
        <w:pStyle w:val="normal1"/>
        <w:numPr>
          <w:ilvl w:val="0"/>
          <w:numId w:val="17"/>
        </w:numPr>
        <w:shd w:val="clear" w:fill="auto"/>
        <w:spacing w:lineRule="auto" w:line="276"/>
        <w:ind w:hanging="360" w:start="590"/>
        <w:rPr>
          <w:color w:val="000000"/>
        </w:rPr>
      </w:pPr>
      <w:r>
        <w:rPr>
          <w:rFonts w:eastAsia="Google Sans" w:cs="Google Sans" w:ascii="Calibri" w:hAnsi="Calibri"/>
          <w:b/>
          <w:bCs/>
          <w:color w:val="000000"/>
        </w:rPr>
        <w:t>Decisiones descartadas:</w:t>
      </w:r>
      <w:r>
        <w:rPr>
          <w:rFonts w:eastAsia="Google Sans" w:cs="Google Sans" w:ascii="Calibri" w:hAnsi="Calibri"/>
          <w:b/>
          <w:bCs/>
          <w:color w:val="000000"/>
        </w:rPr>
        <w:t xml:space="preserve"> </w:t>
      </w:r>
      <w:r>
        <w:rPr>
          <w:rFonts w:eastAsia="Google Sans" w:cs="Google Sans" w:ascii="Google Sans" w:hAnsi="Google Sans"/>
          <w:color w:val="000000"/>
        </w:rPr>
        <w:t>Cualquier propuesta de omitir la tabla intermedia DETALLE_PEDIDO o calcular subtotales únicamente en tiempo de ejecución de forma volátil, priorizando la conservación del histórico de ventas y precios.</w:t>
      </w:r>
    </w:p>
    <w:p>
      <w:pPr>
        <w:pStyle w:val="normal1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b/>
        </w:rPr>
      </w:pPr>
      <w:r>
        <w:rPr>
          <w:rFonts w:ascii="Berlin Sans FB Demi" w:hAnsi="Berlin Sans FB Demi"/>
          <w:color w:val="000000"/>
          <w:sz w:val="40"/>
          <w:szCs w:val="40"/>
        </w:rPr>
      </w:r>
    </w:p>
    <w:p>
      <w:pPr>
        <w:pStyle w:val="Normal"/>
        <w:jc w:val="center"/>
        <w:rPr>
          <w:rFonts w:ascii="Berlin Sans FB Demi" w:hAnsi="Berlin Sans FB Demi"/>
          <w:color w:val="000000"/>
          <w:sz w:val="40"/>
          <w:szCs w:val="40"/>
        </w:rPr>
      </w:pPr>
      <w:r>
        <w:rPr>
          <w:rFonts w:ascii="Berlin Sans FB Demi" w:hAnsi="Berlin Sans FB Demi"/>
          <w:b/>
          <w:color w:val="000000"/>
          <w:sz w:val="40"/>
          <w:szCs w:val="40"/>
        </w:rPr>
        <w:t>Informe Unidad 2: Optimización de Consultas (TP3 + TP4)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Integrantes: Julieta Herrera – Maria de los Angeles Zalazar  |  Base de Datos II – Food Store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Link a el repositorio de los trabajos 3 y 4:</w:t>
      </w:r>
    </w:p>
    <w:p>
      <w:pPr>
        <w:pStyle w:val="Normal"/>
        <w:numPr>
          <w:ilvl w:val="0"/>
          <w:numId w:val="18"/>
        </w:numPr>
        <w:jc w:val="center"/>
        <w:rPr>
          <w:i/>
          <w:sz w:val="20"/>
        </w:rPr>
      </w:pPr>
      <w:hyperlink r:id="rId14">
        <w:r>
          <w:rPr>
            <w:rStyle w:val="Hyperlink"/>
            <w:i/>
            <w:sz w:val="20"/>
            <w:szCs w:val="20"/>
          </w:rPr>
          <w:t>https://github.com/juliiirnr-hash/TP2_BD2/tree/master/u2tp3</w:t>
        </w:r>
      </w:hyperlink>
    </w:p>
    <w:p>
      <w:pPr>
        <w:pStyle w:val="Normal"/>
        <w:numPr>
          <w:ilvl w:val="0"/>
          <w:numId w:val="18"/>
        </w:numPr>
        <w:jc w:val="center"/>
        <w:rPr/>
      </w:pPr>
      <w:hyperlink r:id="rId15">
        <w:r>
          <w:rPr>
            <w:rStyle w:val="Hyperlink"/>
            <w:sz w:val="20"/>
            <w:szCs w:val="20"/>
          </w:rPr>
          <w:t>https://github.com/juliiirnr-hash/TP2_BD2/tree/master/u2tp4</w:t>
        </w:r>
      </w:hyperlink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1. Qué elementos implementaron en la Unidad 2</w:t>
      </w:r>
    </w:p>
    <w:p>
      <w:pPr>
        <w:pStyle w:val="Normal"/>
        <w:rPr/>
      </w:pPr>
      <w:r>
        <w:rPr/>
        <w:t>La Unidad 2 aplica optimización asistida por IA sobre la base Food Store poblada masivamente, con el criterio medir antes, proponer con IA, medir después y decidir con datos (consignas TP3 Semana 3 y TP4 Semana 4).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1.1 Carga masiva de datos (TP3 Parte 1)</w:t>
      </w:r>
    </w:p>
    <w:p>
      <w:pPr>
        <w:pStyle w:val="ListBullet"/>
        <w:numPr>
          <w:ilvl w:val="0"/>
          <w:numId w:val="19"/>
        </w:numPr>
        <w:rPr/>
      </w:pPr>
      <w:r>
        <w:rPr/>
        <w:t>Script insertar_productos.sql: INSERT con generate_series(1, 50000), precio ROUND((500 + random()*3500)::numeric,2) entre 500 y 5000, stock (random()*200)::int entre 0 y 200, distribución round-robin por categoría con LIMIT 1 OFFSET ((s-1) % COUNT) sobre categoria WHERE eliminado = FALSE.</w:t>
      </w:r>
    </w:p>
    <w:p>
      <w:pPr>
        <w:pStyle w:val="ListBullet"/>
        <w:numPr>
          <w:ilvl w:val="0"/>
          <w:numId w:val="19"/>
        </w:numPr>
        <w:rPr/>
      </w:pPr>
      <w:r>
        <w:rPr/>
        <w:t>Solo toca la tabla producto; no modifica ninguna otra tabla.</w:t>
      </w:r>
    </w:p>
    <w:p>
      <w:pPr>
        <w:pStyle w:val="ListBullet"/>
        <w:numPr>
          <w:ilvl w:val="0"/>
          <w:numId w:val="19"/>
        </w:numPr>
        <w:rPr/>
      </w:pPr>
      <w:r>
        <w:rPr/>
        <w:t>Post-carga: ANALYZE producto para actualizar estadísticas del optimizador antes de medir.</w:t>
      </w:r>
    </w:p>
    <w:p>
      <w:pPr>
        <w:pStyle w:val="Normal"/>
        <w:rPr/>
      </w:pPr>
      <w:r>
        <w:rPr>
          <w:rFonts w:ascii="Consolas" w:hAnsi="Consolas"/>
          <w:sz w:val="18"/>
        </w:rPr>
        <w:t>INSERT INTO producto (nombre, precio, descripcion, stock, imagen, disponible, id_categoria, eliminado) SELECT 'Producto '||s, ... FROM generate_series(1,50000) AS s;  -- ver insertar_productos.sql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1.2 Consultas de laboratorio y reescrituras (TP3 Parte 2)</w:t>
      </w:r>
    </w:p>
    <w:p>
      <w:pPr>
        <w:pStyle w:val="Normal"/>
        <w:rPr/>
      </w:pPr>
      <w:r>
        <w:rPr/>
        <w:t>Se trabajaron tres consultas reales sobre producto (ver consultas_ej2_TP3.sql y TP3_ej2._Cuadro.pdf):</w:t>
      </w:r>
    </w:p>
    <w:p>
      <w:pPr>
        <w:pStyle w:val="ListBullet"/>
        <w:numPr>
          <w:ilvl w:val="0"/>
          <w:numId w:val="19"/>
        </w:numPr>
        <w:rPr/>
      </w:pPr>
      <w:r>
        <w:rPr/>
        <w:t>C1 Productos sobre promedio: SELECT * FROM producto WHERE precio &gt; (SELECT AVG(precio) FROM producto) → reescritura con AVG(precio) OVER () en subconsulta (elimina doble escaneo, plan más limpio).</w:t>
      </w:r>
    </w:p>
    <w:p>
      <w:pPr>
        <w:pStyle w:val="ListBullet"/>
        <w:numPr>
          <w:ilvl w:val="0"/>
          <w:numId w:val="19"/>
        </w:numPr>
        <w:rPr/>
      </w:pPr>
      <w:r>
        <w:rPr/>
        <w:t>C2 Conteo por categoría: SELECT id_categoria, COUNT(*) ... GROUP BY → reescritura con WHERE eliminado = FALSE (aprovecha índice parcial).</w:t>
      </w:r>
    </w:p>
    <w:p>
      <w:pPr>
        <w:pStyle w:val="ListBullet"/>
        <w:numPr>
          <w:ilvl w:val="0"/>
          <w:numId w:val="19"/>
        </w:numPr>
        <w:rPr/>
      </w:pPr>
      <w:r>
        <w:rPr/>
        <w:t>C3 Top-100 por stock: SELECT * ... ORDER BY stock DESC LIMIT 100 → reescritura con WHERE eliminado = FALSE + índice parcial idx_producto_stock ON producto(stock DESC) WHERE eliminado = FALSE.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1.3 Lectura crítica de planes (TP3 Parte 3)</w:t>
      </w:r>
    </w:p>
    <w:p>
      <w:pPr>
        <w:pStyle w:val="Normal"/>
        <w:rPr/>
      </w:pPr>
      <w:r>
        <w:rPr/>
        <w:t>Se analizó nodo por nodo el plan de C1 con ventana (Seq Scan 50002 filas en 5.9 ms → WindowAgg con spill a disco temp read=964 written=697, ~5.4 MB → Subquery Scan con Filter, Rows Removed by Filter 24908, Execution Time 113.493 ms). Se contrastó la explicación de la IA frase por frase (ver parte3y4_TP3.pdf).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1.4 Consultas resumen y subconsultas bajo spec (TP3 Parte 4)</w:t>
      </w:r>
    </w:p>
    <w:p>
      <w:pPr>
        <w:pStyle w:val="ListBullet"/>
        <w:numPr>
          <w:ilvl w:val="0"/>
          <w:numId w:val="19"/>
        </w:numPr>
        <w:rPr/>
      </w:pPr>
      <w:r>
        <w:rPr/>
        <w:t>Agregación (spec): por cada categoría vigente, id y cantidad de productos vigentes (producto.eliminado = FALSE), ORDER BY cantidad DESC, sin SELECT *. Versión IA con LEFT JOIN + versión propia con CTE productos_existentes; equivalencia verificada.</w:t>
      </w:r>
    </w:p>
    <w:p>
      <w:pPr>
        <w:pStyle w:val="ListBullet"/>
        <w:numPr>
          <w:ilvl w:val="0"/>
          <w:numId w:val="19"/>
        </w:numPr>
        <w:rPr/>
      </w:pPr>
      <w:r>
        <w:rPr/>
        <w:t>Subconsulta (spec): id_producto, nombre y precio de productos vigentes con precio mayor al promedio. Versión IA con subconsulta escalar + alternativa con CTE precio_promedio + CROSS JOIN (el promedio se calcula una sola vez porque la interna tiene 1 fila).</w:t>
      </w:r>
    </w:p>
    <w:p>
      <w:pPr>
        <w:pStyle w:val="ListBullet"/>
        <w:numPr>
          <w:ilvl w:val="0"/>
          <w:numId w:val="19"/>
        </w:numPr>
        <w:rPr/>
      </w:pPr>
      <w:r>
        <w:rPr/>
        <w:t>Verificación con (A EXCEPT B) y (B EXCEPT A): 0 filas en ambos sentidos.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1.5 Competencia de optimización (TP3 Parte 5 / ej5_TP3.pdf)</w:t>
      </w:r>
    </w:p>
    <w:p>
      <w:pPr>
        <w:pStyle w:val="Normal"/>
        <w:rPr/>
      </w:pPr>
      <w:r>
        <w:rPr/>
        <w:t>Consulta común: SELECT id_producto, nombre, precio, stock FROM producto WHERE id_categoria = 1 AND disponible = TRUE AND precio BETWEEN 1000 AND 3000 ORDER BY precio DESC. Se evaluaron 4 propuestas de IA (A–D); ganó la Propuesta C por tiempo real.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1.6 Marco TP4 Semana 4 (sin ejecución)</w:t>
      </w:r>
    </w:p>
    <w:p>
      <w:pPr>
        <w:pStyle w:val="Normal"/>
        <w:rPr/>
      </w:pPr>
      <w:r>
        <w:rPr/>
        <w:t>La carpeta u2tp4 contiene solo la consigna (TP4_Semana4_Unidad2_Practica.pdf/.odt): joins de 3+ tablas, identificación de Nested Loop / Hash Join / Merge Join, ranking con ventana y subconsulta correlacionada, y competencia entre equipos. No hay queries.sql ni mediciones ejecutadas, por lo que se documenta como alcance pendiente y no se inventan resultados.</w:t>
      </w:r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2. Cómo probamos su funcionamiento</w:t>
      </w:r>
    </w:p>
    <w:p>
      <w:pPr>
        <w:pStyle w:val="ListBullet"/>
        <w:numPr>
          <w:ilvl w:val="0"/>
          <w:numId w:val="19"/>
        </w:numPr>
        <w:rPr/>
      </w:pPr>
      <w:r>
        <w:rPr/>
        <w:t>Protocolo de seguridad de la cátedra: copia de trabajo (CREATE DATABASE food_store_test TEMPLATE food_store), transacción BEGIN → \i script → COMMIT/ROLLBACK, y respaldo previo con pg_dump (respaldo_food_store.sql y carpeta backups/).</w:t>
      </w:r>
    </w:p>
    <w:p>
      <w:pPr>
        <w:pStyle w:val="ListBullet"/>
        <w:numPr>
          <w:ilvl w:val="0"/>
          <w:numId w:val="19"/>
        </w:numPr>
        <w:rPr/>
      </w:pPr>
      <w:r>
        <w:rPr/>
        <w:t>Sintaxis y carga: lectura línea por línea del script de IA (verificación de CHECK, UNIQUE, FK), ejecución controlada; INSERT 0 50000 confirmado en psql.</w:t>
      </w:r>
    </w:p>
    <w:p>
      <w:pPr>
        <w:pStyle w:val="ListBullet"/>
        <w:numPr>
          <w:ilvl w:val="0"/>
          <w:numId w:val="19"/>
        </w:numPr>
        <w:rPr/>
      </w:pPr>
      <w:r>
        <w:rPr/>
        <w:t>Medición: EXPLAIN ANALYZE antes y después de cada cambio, guardando nodo, cost, tiempo real y buffers (capturas_TP3_ej1 + cuadros PDF).</w:t>
      </w:r>
    </w:p>
    <w:p>
      <w:pPr>
        <w:pStyle w:val="ListBullet"/>
        <w:numPr>
          <w:ilvl w:val="0"/>
          <w:numId w:val="19"/>
        </w:numPr>
        <w:rPr/>
      </w:pPr>
      <w:r>
        <w:rPr/>
        <w:t>Equivalencia: conteos + muestra de filas y EXCEPT bidireccional para cada par de consultas (agregación y subconsulta).</w:t>
      </w:r>
    </w:p>
    <w:p>
      <w:pPr>
        <w:pStyle w:val="ListBullet"/>
        <w:numPr>
          <w:ilvl w:val="0"/>
          <w:numId w:val="19"/>
        </w:numPr>
        <w:rPr/>
      </w:pPr>
      <w:r>
        <w:rPr/>
        <w:t>Lectura crítica: explicación IA del plan WindowAgg contrastada contra el plan real (detección de supuesto no dado: work_mem 4 MB).</w:t>
      </w:r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3. Qué resultados obtuvimos</w:t>
      </w:r>
    </w:p>
    <w:p>
      <w:pPr>
        <w:pStyle w:val="ListBullet"/>
        <w:numPr>
          <w:ilvl w:val="0"/>
          <w:numId w:val="19"/>
        </w:numPr>
        <w:rPr/>
      </w:pPr>
      <w:r>
        <w:rPr/>
        <w:t>Base masiva operativa (≈50000 productos) lista para medir Seq Scan reales.</w:t>
      </w:r>
    </w:p>
    <w:p>
      <w:pPr>
        <w:pStyle w:val="ListBullet"/>
        <w:numPr>
          <w:ilvl w:val="0"/>
          <w:numId w:val="19"/>
        </w:numPr>
        <w:rPr/>
      </w:pPr>
      <w:r>
        <w:rPr/>
        <w:t>Tabla comparativa Parte 2 completa (ver Sección 4) con planes antes/después.</w:t>
      </w:r>
    </w:p>
    <w:p>
      <w:pPr>
        <w:pStyle w:val="ListBullet"/>
        <w:numPr>
          <w:ilvl w:val="0"/>
          <w:numId w:val="19"/>
        </w:numPr>
        <w:rPr/>
      </w:pPr>
      <w:r>
        <w:rPr/>
        <w:t>Tabla de lectura crítica Parte 3 y specs + SQL + verificación Parte 4.</w:t>
      </w:r>
    </w:p>
    <w:p>
      <w:pPr>
        <w:pStyle w:val="ListBullet"/>
        <w:numPr>
          <w:ilvl w:val="0"/>
          <w:numId w:val="19"/>
        </w:numPr>
        <w:rPr/>
      </w:pPr>
      <w:r>
        <w:rPr/>
        <w:t>Registro de competencia Parte 5 con ganador justificado por tiempo real.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Consulta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antes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Cambio aplicado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después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Mejora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C1 precio&gt;promedio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Bitmap Heap Scan + InitPlan, 22.9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Reescritura AVG() OVER () + ANALYZE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Subquery Scan + WindowAgg, 113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Plan más limpio/escalable; más tiempo por spill a disco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C2 conteo/categoría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HashAggregate, 22.5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eliminado=FALSE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 + GroupAggregate, 12.4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Buffers 820→42; −45% tiempo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C3 top-100 stock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Sort, 14.7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eliminado=FALSE + idx_producto_stock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Scan + Limit, 0.38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Sort; −97% tiempo; buffers 820→95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Competencia (ej5)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Sort + Filter, ~51.4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Propuesta C: índice parcial precio DESC WHERE disponible AND id_categoria=1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8.49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6.05x más rápido (−83.5%)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Conclusión: los índices parciales rinden más cuando exista borrado lógico real (hoy casi no hay eliminados); la C1 muestra que una reescritura puede mejorar la estructura aunque no el tiempo puntual por el spill de la ventana.</w:t>
      </w:r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4. Qué consultas optimizaron y qué diferencias encontraron antes y después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4.1 Detalle por consulta (TP3)</w:t>
      </w:r>
    </w:p>
    <w:p>
      <w:pPr>
        <w:pStyle w:val="ListBullet"/>
        <w:numPr>
          <w:ilvl w:val="0"/>
          <w:numId w:val="19"/>
        </w:numPr>
        <w:rPr/>
      </w:pPr>
      <w:r>
        <w:rPr/>
        <w:t>C1: 22.9 ms → 113 ms. Empeora en tiempo por materialización de la ventana en disco (temp 697 bloques escritos), pero elimina el doble escaneo del InitPlan y escala mejor.</w:t>
      </w:r>
    </w:p>
    <w:p>
      <w:pPr>
        <w:pStyle w:val="ListBullet"/>
        <w:numPr>
          <w:ilvl w:val="0"/>
          <w:numId w:val="19"/>
        </w:numPr>
        <w:rPr/>
      </w:pPr>
      <w:r>
        <w:rPr/>
        <w:t>C2: 22.5 ms → 12.4 ms. Index Only Scan + GroupAggregate; buffers shared hit 820 → 42.</w:t>
      </w:r>
    </w:p>
    <w:p>
      <w:pPr>
        <w:pStyle w:val="ListBullet"/>
        <w:numPr>
          <w:ilvl w:val="0"/>
          <w:numId w:val="19"/>
        </w:numPr>
        <w:rPr/>
      </w:pPr>
      <w:r>
        <w:rPr/>
        <w:t>C3: 14.7 ms → 0.38 ms. El índice (stock DESC) WHERE eliminado=FALSE entrega el orden desde el B-Tree y elimina el Sort; buffers 820 → 95.</w:t>
      </w:r>
    </w:p>
    <w:p>
      <w:pPr>
        <w:pStyle w:val="Heading2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/>
          <w:color w:val="000000"/>
          <w:sz w:val="30"/>
          <w:szCs w:val="30"/>
        </w:rPr>
        <w:t>4.2 Competencia: propuestas A–D (ej5_TP3.pdf)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Propuesta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Índice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después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idx_producto_cat_dis_precio (id_categoria, disponible, precio)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Sigue Seq Scan + Sort, cost idéntico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~51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Rechazada: no cambia acceso ni costo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idx_producto_covering_desc ... INCLUDE (id_producto,nombre,stock)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Heap Fetches 488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9.26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Rechazada: sobrecargado, costoso en escritura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 (ganadora)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idx_producto_precio_desc (precio DESC) WHERE disponible AND id_categoria=1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Heap Fetches 488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8.49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por consigna (menor tiempo real)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idx_producto_categoria_precio (id_categoria, precio DESC) WHERE disponible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Scan, Heap Fetches 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31.03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 para la competencia; más versátil pero más lenta aquí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Trade-off declarado: C es hiperespecífica (solo sirve para id_categoria=1 y disponible=TRUE); en producción proliferaría índices por categoría, con overhead en INSERT/UPDATE/DELETE y espacio en disco/RAM. D sería preferible por versatilidad aunque pierda la competencia por tiempo.</w:t>
      </w:r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5. Uso de herramientas de IA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 qué se usó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Prompt/spec (resumen)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Aceptado / descartado — por qué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Script de 50000 productos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«Generá script con generate_series, precios 500–5000, stock 0–200, sin tocar otra tabla»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tras corrección OFFSET % COUNT; se descartó intento con &amp;&amp; en PowerShell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Reescrituras C1–C3 e idx_producto_stock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 le pasó el plan EXPLAIN real pidiendo qué nodo ataca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C2/C3; C1 aceptada por estructura aunque subió el tiempo (documentado)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OpenCode/Copilot/Gemini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Competencia A–D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Proponer índices para la consulta con BETWEEN + ORDER BY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C por tiempo; descartadas A (inútil), B (sobrecargada), D (lenta aquí)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Explicación del plan WindowAgg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«Explicá nodo por nodo solo con el texto del plan»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con corrección: asumió work_mem 4 MB sin que se le diera (coincidió con el default)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agregación y subconsulta + alternativas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precisos con borrado lógico, columnas, orden, sin SELECT *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Aceptadas; equivalencia verificada con EXCEPT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Criterio de aceptación aplicado: ninguna propuesta se aplicó porque lo dijo la IA; solo lo que el equipo pudo explicar en defensa oral y la medición posterior confirmó (o se documentó el no-mejora).</w:t>
      </w:r>
    </w:p>
    <w:p>
      <w:pPr>
        <w:pStyle w:val="Heading1"/>
        <w:rPr>
          <w:rFonts w:ascii="Calibri" w:hAnsi="Calibri"/>
          <w:b/>
          <w:bCs/>
          <w:color w:val="000000"/>
          <w:sz w:val="30"/>
          <w:szCs w:val="30"/>
        </w:rPr>
      </w:pPr>
      <w:r>
        <w:rPr>
          <w:rFonts w:ascii="Calibri" w:hAnsi="Calibri"/>
          <w:b/>
          <w:bCs/>
          <w:i w:val="false"/>
          <w:color w:val="000000"/>
          <w:sz w:val="30"/>
          <w:szCs w:val="30"/>
        </w:rPr>
        <w:t>Anexo A. Evidencia y figuras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17309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1. Carga masiva en psql sobre copia food_store_test (BEGIN, \i insertar_productos.sql, INSERT 0 50000, COMMIT).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018155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2. EXPLAIN ANALYZE de consultas originales (Bitmap/Seq Scan + Sort, tiempos y buffers).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10515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3. EXPLAIN ANALYZE de consultas mejoradas (Index Scan / Index Only Scan + Limit).</w:t>
      </w:r>
    </w:p>
    <w:p>
      <w:pPr>
        <w:pStyle w:val="Normal"/>
        <w:jc w:val="center"/>
        <w:rPr/>
      </w:pPr>
      <w:r>
        <w:rPr>
          <w:i/>
          <w:sz w:val="20"/>
        </w:rPr>
        <w:t>Figura 4. Cuadro comparativo TP3_ej2 (antes/después por consulta) — ver TP3_ej2._Cuadro.pdf adjunto.</w:t>
      </w:r>
    </w:p>
    <w:p>
      <w:pPr>
        <w:pStyle w:val="Normal"/>
        <w:jc w:val="center"/>
        <w:rPr/>
      </w:pPr>
      <w:r>
        <w:rPr>
          <w:i/>
          <w:sz w:val="20"/>
        </w:rPr>
        <w:t>Figura 5. Análisis de propuestas A–D y tabla de competencia — ver ej5_TP3.pdf adjunto.</w:t>
      </w:r>
    </w:p>
    <w:p>
      <w:pPr>
        <w:pStyle w:val="Normal"/>
        <w:jc w:val="center"/>
        <w:rPr/>
      </w:pPr>
      <w:r>
        <w:rPr>
          <w:i/>
          <w:sz w:val="20"/>
        </w:rPr>
        <w:t>Figura 6. Lectura crítica del plan con WindowAgg y specs de agregación/subconsulta — ver parte3y4_TP3.pdf adjunto.</w:t>
      </w:r>
    </w:p>
    <w:p>
      <w:pPr>
        <w:pStyle w:val="Normal"/>
        <w:jc w:val="center"/>
        <w:rPr/>
      </w:pPr>
      <w:r>
        <w:rPr>
          <w:i/>
          <w:sz w:val="20"/>
        </w:rPr>
        <w:t>Figura 7. Respaldo previo con pg_dump y protocolo copia-transacción-respaldo (respaldo_food_store.sql).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Fuentes: insertar_productos.sql; consultas_ej2_TP3.sql; ej1TP3_cargadatos.md; TP3_Semana3_Unidad2_Practica.pdf; TP4_Semana4_Unidad2_Practica.pdf (marco).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jc w:val="center"/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b/>
          <w:sz w:val="40"/>
          <w:szCs w:val="40"/>
        </w:rPr>
        <w:t>Informe Unidad 3: Indexado, Vistas y Vistas Materializadas (TP5)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Integrantes: Julieta Herrera – Maria de los Angeles Zalazar  |  Base de Datos II – Food Store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</w:r>
    </w:p>
    <w:p>
      <w:pPr>
        <w:pStyle w:val="Normal"/>
        <w:jc w:val="center"/>
        <w:rPr/>
      </w:pPr>
      <w:r>
        <w:rPr>
          <w:i/>
          <w:sz w:val="20"/>
        </w:rPr>
        <w:t xml:space="preserve">Link del repositorio al tp5:  </w:t>
      </w:r>
      <w:hyperlink r:id="rId19">
        <w:r>
          <w:rPr>
            <w:rStyle w:val="Hyperlink"/>
            <w:i/>
            <w:sz w:val="20"/>
          </w:rPr>
          <w:t>https://github.com/juliiirnr-hash/TP2_BD2/tree/master/u3tp5</w:t>
        </w:r>
      </w:hyperlink>
    </w:p>
    <w:p>
      <w:pPr>
        <w:pStyle w:val="Heading1"/>
        <w:rPr>
          <w:u w:val="single"/>
        </w:rPr>
      </w:pPr>
      <w:r>
        <w:rPr>
          <w:b/>
          <w:i w:val="false"/>
          <w:color w:val="000000"/>
        </w:rPr>
        <w:t>1. Qué elementos implementaron en la Unidad 3</w:t>
      </w:r>
    </w:p>
    <w:p>
      <w:pPr>
        <w:pStyle w:val="Normal"/>
        <w:rPr/>
      </w:pPr>
      <w:r>
        <w:rPr/>
        <w:t>A partir de specs en Markdown (carpeta specs/) se generaron con IA los scripts indices.sql, vistas.sql y vistasMaterializadas.sql, bajo borrado lógico (WHERE eliminado = FALSE) y CREATE OR REPLACE / DROP IF EXISTS para re-ejecución.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1.1 Plan de indexado — Parte A (indices.sql)</w:t>
      </w:r>
    </w:p>
    <w:p>
      <w:pPr>
        <w:pStyle w:val="ListBullet"/>
        <w:numPr>
          <w:ilvl w:val="0"/>
          <w:numId w:val="19"/>
        </w:numPr>
        <w:rPr/>
      </w:pPr>
      <w:r>
        <w:rPr/>
        <w:t>spec_indice_rango_precio.md → idx_producto_precio_rango ON producto USING BTREE (id_categoria, precio) WHERE eliminado = FALSE. id_categoria resuelve JOIN+GROUP BY; precio resuelve el CASE por rangos sin ir al heap.</w:t>
      </w:r>
    </w:p>
    <w:p>
      <w:pPr>
        <w:pStyle w:val="ListBullet"/>
        <w:numPr>
          <w:ilvl w:val="0"/>
          <w:numId w:val="19"/>
        </w:numPr>
        <w:rPr/>
      </w:pPr>
      <w:r>
        <w:rPr/>
        <w:t>spec_indice_disponibilidad_categoria.md → idx_categoria_producto_disponibilidad ON producto USING BTREE (id_categoria, disponible) WHERE eliminado = FALSE. Resuelve COUNT FILTER con Index Only Scan.</w:t>
      </w:r>
    </w:p>
    <w:p>
      <w:pPr>
        <w:pStyle w:val="ListBullet"/>
        <w:numPr>
          <w:ilvl w:val="0"/>
          <w:numId w:val="19"/>
        </w:numPr>
        <w:rPr/>
      </w:pPr>
      <w:r>
        <w:rPr/>
        <w:t>spec_indice_usuario_cantidadArticulos.md → idx_pedido_historial_articulos ON pedido USING BTREE (fecha DESC) WHERE eliminado = FALSE. Entrega el ORDER BY desde el B-Tree (Incremental Sort).</w:t>
      </w:r>
    </w:p>
    <w:p>
      <w:pPr>
        <w:pStyle w:val="Normal"/>
        <w:rPr/>
      </w:pPr>
      <w:r>
        <w:rPr>
          <w:rFonts w:ascii="Consolas" w:hAnsi="Consolas"/>
          <w:sz w:val="18"/>
        </w:rPr>
        <w:t>DROP INDEX IF EXISTS idx_producto_precio_rango; CREATE INDEX idx_producto_precio_rango ON producto USING BTREE (id_categoria, precio) WHERE eliminado = FALSE; -- idem otros dos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1.2 Vistas para reportes — Parte B (vistas.sql)</w:t>
      </w:r>
    </w:p>
    <w:p>
      <w:pPr>
        <w:pStyle w:val="ListBullet"/>
        <w:numPr>
          <w:ilvl w:val="0"/>
          <w:numId w:val="19"/>
        </w:numPr>
        <w:rPr/>
      </w:pPr>
      <w:r>
        <w:rPr/>
        <w:t>spec_vista_productos_vigentes.md → v_productos_vigentes: producto p JOIN categoria c, WHERE p.eliminado=FALSE AND c.eliminado=FALSE; expone id_producto, producto_nombre, precio, disponible, id_categoria, categoria_nombre (oculta created_at/eliminado).</w:t>
      </w:r>
    </w:p>
    <w:p>
      <w:pPr>
        <w:pStyle w:val="ListBullet"/>
        <w:numPr>
          <w:ilvl w:val="0"/>
          <w:numId w:val="19"/>
        </w:numPr>
        <w:rPr/>
      </w:pPr>
      <w:r>
        <w:rPr/>
        <w:t>spec_vista_pedios_usuarios.md → v_pedidos_usuario: pedido pd JOIN usuario u; expone id_pedido, fecha, estado, forma_pago, total, datos de contacto; excluye estrictamente contrasena (mínimo privilegio).</w:t>
      </w:r>
    </w:p>
    <w:p>
      <w:pPr>
        <w:pStyle w:val="ListBullet"/>
        <w:numPr>
          <w:ilvl w:val="0"/>
          <w:numId w:val="19"/>
        </w:numPr>
        <w:rPr/>
      </w:pPr>
      <w:r>
        <w:rPr/>
        <w:t>spec_vista_detallepedido_producto.md → v_detalle_pedido_producto: detalle_pedido dp JOIN producto p; expone id_pedido, cantidad, id_producto, producto_nombre.</w:t>
      </w:r>
    </w:p>
    <w:p>
      <w:pPr>
        <w:pStyle w:val="ListBullet"/>
        <w:numPr>
          <w:ilvl w:val="0"/>
          <w:numId w:val="19"/>
        </w:numPr>
        <w:rPr/>
      </w:pPr>
      <w:r>
        <w:rPr/>
        <w:t>Control de acceso RBAC: CREATE ROLE rol_reportes; REVOKE SELECT sobre las 5 tablas base; GRANT SELECT solo sobre las 3 vistas.</w:t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1.3 Vista materializada</w:t>
      </w:r>
    </w:p>
    <w:p>
      <w:pPr>
        <w:pStyle w:val="ListBullet"/>
        <w:numPr>
          <w:ilvl w:val="0"/>
          <w:numId w:val="19"/>
        </w:numPr>
        <w:rPr/>
      </w:pPr>
      <w:r>
        <w:rPr/>
        <w:t>productos_caros_pcategoria: TOP-10 productos disponibles vigentes con categoría, ORDER BY precio DESC LIMIT 10, WITH DATA.</w:t>
      </w:r>
    </w:p>
    <w:p>
      <w:pPr>
        <w:pStyle w:val="ListBullet"/>
        <w:numPr>
          <w:ilvl w:val="0"/>
          <w:numId w:val="19"/>
        </w:numPr>
        <w:rPr/>
      </w:pPr>
      <w:r>
        <w:rPr/>
        <w:t>CREATE UNIQUE INDEX pcpc_id ON productos_caros_pcategoria (producto, categoria).</w:t>
      </w:r>
    </w:p>
    <w:p>
      <w:pPr>
        <w:pStyle w:val="ListBullet"/>
        <w:numPr>
          <w:ilvl w:val="0"/>
          <w:numId w:val="19"/>
        </w:numPr>
        <w:rPr/>
      </w:pPr>
      <w:r>
        <w:rPr/>
        <w:t>Política de REFRESH: cada vez que se actualice el catálogo/precios o por período del negocio; sin refresh el cliente ve datos desactualizados.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2. Cómo probamos su funcionamiento</w:t>
      </w:r>
    </w:p>
    <w:p>
      <w:pPr>
        <w:pStyle w:val="ListBullet"/>
        <w:numPr>
          <w:ilvl w:val="0"/>
          <w:numId w:val="19"/>
        </w:numPr>
        <w:rPr/>
      </w:pPr>
      <w:r>
        <w:rPr/>
        <w:t>Medición: EXPLAIN ANALYZE antes (Seq Scan + Sort/HashAggregate) y después (Index Only Scan / Index Scan + Incremental Sort) para las consultas 4, 5 y 6 (ver informe_mediciones.md).</w:t>
      </w:r>
    </w:p>
    <w:p>
      <w:pPr>
        <w:pStyle w:val="ListBullet"/>
        <w:numPr>
          <w:ilvl w:val="0"/>
          <w:numId w:val="19"/>
        </w:numPr>
        <w:rPr/>
      </w:pPr>
      <w:r>
        <w:rPr/>
        <w:t>Escritura: bloque anónimo DO con 500 productos + 500 detalles (1000 inserts) antes y después de los índices nuevos.</w:t>
      </w:r>
    </w:p>
    <w:p>
      <w:pPr>
        <w:pStyle w:val="ListBullet"/>
        <w:numPr>
          <w:ilvl w:val="0"/>
          <w:numId w:val="19"/>
        </w:numPr>
        <w:rPr/>
      </w:pPr>
      <w:r>
        <w:rPr/>
        <w:t>Equivalencia de vistas: cada vista vs. su consulta manual (SELECT ... FROM tablas base) con ORDER BY; coincidencia exacta (Prueba 2: 2 filas id_pedido 3 y 4).</w:t>
      </w:r>
    </w:p>
    <w:p>
      <w:pPr>
        <w:pStyle w:val="ListBullet"/>
        <w:numPr>
          <w:ilvl w:val="0"/>
          <w:numId w:val="19"/>
        </w:numPr>
        <w:rPr/>
      </w:pPr>
      <w:r>
        <w:rPr/>
        <w:t>Seguridad: verificación de que rol_reportes no lee tablas base y sí lee las 3 vistas; que contrasena nunca aparece en v_pedidos_usuario.</w:t>
      </w:r>
    </w:p>
    <w:p>
      <w:pPr>
        <w:pStyle w:val="ListBullet"/>
        <w:numPr>
          <w:ilvl w:val="0"/>
          <w:numId w:val="19"/>
        </w:numPr>
        <w:rPr/>
      </w:pPr>
      <w:r>
        <w:rPr/>
        <w:t>Materializada: query original vs. SELECT sobre la vista (Planning 0.472→6.649 ms por planificación; Execution 0.144→0.110 ms).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3. Qué resultados obtuvimos</w:t>
      </w:r>
    </w:p>
    <w:p>
      <w:pPr>
        <w:pStyle w:val="ListBullet"/>
        <w:numPr>
          <w:ilvl w:val="0"/>
          <w:numId w:val="19"/>
        </w:numPr>
        <w:rPr/>
      </w:pPr>
      <w:r>
        <w:rPr/>
        <w:t>Reportes abstraídos: el catálogo activo, los pedidos con cliente y el detalle con producto se consumen sin exponer tablas base ni auditoría.</w:t>
      </w:r>
    </w:p>
    <w:p>
      <w:pPr>
        <w:pStyle w:val="ListBullet"/>
        <w:numPr>
          <w:ilvl w:val="0"/>
          <w:numId w:val="19"/>
        </w:numPr>
        <w:rPr/>
      </w:pPr>
      <w:r>
        <w:rPr/>
        <w:t>Acceso de reportes aislado con rol_reportes (principio de mínimo privilegio).</w:t>
      </w:r>
    </w:p>
    <w:p>
      <w:pPr>
        <w:pStyle w:val="ListBullet"/>
        <w:numPr>
          <w:ilvl w:val="0"/>
          <w:numId w:val="19"/>
        </w:numPr>
        <w:rPr/>
      </w:pPr>
      <w:r>
        <w:rPr/>
        <w:t>Ranking TOP-10 servido desde la materializada sin recalcular el JOIN+ORDER en cada lectura.</w:t>
      </w:r>
    </w:p>
    <w:p>
      <w:pPr>
        <w:pStyle w:val="ListBullet"/>
        <w:numPr>
          <w:ilvl w:val="0"/>
          <w:numId w:val="19"/>
        </w:numPr>
        <w:rPr/>
      </w:pPr>
      <w:r>
        <w:rPr/>
        <w:t>Documentación de trade-offs: overhead de escritura medido y propuesta descartada por sobreindexación.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4. Qué consultas optimizaron y qué diferencias encontraron antes y después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Consulta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Antes (plan / tiempo / buffers)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Índice aplicado / después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Mejora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C4 Distribución de precios por categoría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on producto + Sort (quicksort); 112.706 ms; hit=820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idx_producto_precio_rango → Index Only Scan; 84.529 ms; hit=784 read=193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25% tiempo; sin Seq Scan; rangos desde el B-Tree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C5 Disponibilidad por categoría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HashAggregate; 43.014 ms; hit=820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idx_categoria_producto_disponibilidad → Index Only Scan; 52.122 ms; hit=15 read=43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Seq Scan; buffers 820→15 hits (más liviano aunque el tiempo puntual subió por lectura limpia)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C6 Historial de pedidos + artículos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pedido + Seq Scan detalle + Sort; 1.566 ms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idx_pedido_historial_articulos → Index Scan + Index Only Scan + Incremental Sort; 0.296 ms caché / 2.065 ms limpia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scans ni Sort completo; orden desde fecha DESC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TOP-10 caros por categoría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Query original; Execution 0.144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Materializada + pcpc_id; Execution 0.110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Lectura precomputada; exige REFRESH ante cambios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4.1 Impacto en escritura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Volumen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Variación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Antes (sin índices nuevos)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1000 registros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63 ms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Después (con índices Parte 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1000 registros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138 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+119% (+75 ms) — aceptable: predominan lecturas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000000"/>
        </w:rPr>
      </w:pPr>
      <w:r>
        <w:rPr>
          <w:b w:val="false"/>
          <w:i/>
          <w:color w:val="000000"/>
        </w:rPr>
        <w:t>4.2 Propuesta descartada por sobreindexación</w:t>
      </w:r>
    </w:p>
    <w:p>
      <w:pPr>
        <w:pStyle w:val="Normal"/>
        <w:rPr/>
      </w:pPr>
      <w:r>
        <w:rPr/>
        <w:t>CREATE INDEX idx_producto_eliminado ON producto (eliminado). Descartado porque: (1) baja selectividad (booleano &gt;99% FALSE, el optimizador prefiere Seq Scan); (2) redundante (los tres índices aceptados ya filtran WHERE eliminado=FALSE en el predicado); (3) penaliza INSERT/UPDATE sin beneficio en lectura.</w:t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5. Uso de herramientas de IA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 qué se usó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Prompt/spec (resumen)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Aceptado / descartado — por qué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de índices (3 .md)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Consulta afectada + columnas candidatas + criterio (evitar Seq Scan/Sort)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Aceptados los 3; guiaron el DDL exacto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indices.sql (B-Tree parciales)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Generar DDL re-ejecutable desde los specs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Aceptado; verificado con EXPLAIN ANALYZE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+ vistas.sql (3 vistas)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Tablas, JOIN, vigencia en ambas tablas, columnas, exclusiones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Aceptadas; equivalencia exacta verificada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RBAC rol_reportes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Aislar lectura a vistas sin exponer base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(REVOKE base + GRANT vistas)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Vista materializada TOP-10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Precomputar ranking con refresh policy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Aceptada; documentado refresh obligatorio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idx_producto_eliminado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Propuesta de índice monocampo booleano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Descartada por baja selectividad y redundancia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color w:val="000000"/>
        </w:rPr>
      </w:pPr>
      <w:r>
        <w:rPr>
          <w:b/>
          <w:i w:val="false"/>
          <w:color w:val="000000"/>
        </w:rPr>
        <w:t>Anexo A. Evidencia y figuras</w:t>
      </w:r>
    </w:p>
    <w:p>
      <w:pPr>
        <w:pStyle w:val="Normal"/>
        <w:jc w:val="center"/>
        <w:rPr/>
      </w:pPr>
      <w:r>
        <w:rPr>
          <w:i/>
          <w:sz w:val="20"/>
        </w:rPr>
        <w:t>Figura 1. Specs de índices (rango de precio, disponibilidad, historial) — carpeta specs/.</w:t>
      </w:r>
    </w:p>
    <w:p>
      <w:pPr>
        <w:pStyle w:val="Normal"/>
        <w:jc w:val="center"/>
        <w:rPr/>
      </w:pPr>
      <w:r>
        <w:rPr>
          <w:i/>
          <w:sz w:val="20"/>
        </w:rPr>
        <w:t>Figura 2. Specs de vistas (productos vigentes, pedidos-usuario, detalle-producto) — carpeta specs/.</w:t>
      </w:r>
    </w:p>
    <w:p>
      <w:pPr>
        <w:pStyle w:val="Normal"/>
        <w:jc w:val="center"/>
        <w:rPr/>
      </w:pPr>
      <w:r>
        <w:rPr>
          <w:i/>
          <w:sz w:val="20"/>
        </w:rPr>
        <w:t>Figura 3. DDL indices.sql con DROP IF EXISTS + CREATE INDEX parciales.</w:t>
      </w:r>
    </w:p>
    <w:p>
      <w:pPr>
        <w:pStyle w:val="Normal"/>
        <w:jc w:val="center"/>
        <w:rPr/>
      </w:pPr>
      <w:r>
        <w:rPr>
          <w:i/>
          <w:sz w:val="20"/>
        </w:rPr>
        <w:t>Figura 4. Planes C4–C6 antes (Seq Scan + Sort/HashAggregate) — ver informe_mediciones.md.</w:t>
      </w:r>
    </w:p>
    <w:p>
      <w:pPr>
        <w:pStyle w:val="Normal"/>
        <w:jc w:val="center"/>
        <w:rPr/>
      </w:pPr>
      <w:r>
        <w:rPr>
          <w:i/>
          <w:sz w:val="20"/>
        </w:rPr>
        <w:t>Figura 5. Planes C4–C6 después (Index Only Scan + Incremental Sort) con tiempos y buffers.</w:t>
      </w:r>
    </w:p>
    <w:p>
      <w:pPr>
        <w:pStyle w:val="Normal"/>
        <w:jc w:val="center"/>
        <w:rPr/>
      </w:pPr>
      <w:r>
        <w:rPr>
          <w:i/>
          <w:sz w:val="20"/>
        </w:rPr>
        <w:t>Figura 6. Prueba de escritura DO 500+500 y tabla 63 ms → 138 ms.</w:t>
      </w:r>
    </w:p>
    <w:p>
      <w:pPr>
        <w:pStyle w:val="Normal"/>
        <w:jc w:val="center"/>
        <w:rPr/>
      </w:pPr>
      <w:r>
        <w:rPr>
          <w:i/>
          <w:sz w:val="20"/>
        </w:rPr>
        <w:t>Figura 7. Verificación vista-vs-manual (coincidencia exacta; 2 filas en pedidos) y RBAC rol_reportes.</w:t>
      </w:r>
    </w:p>
    <w:p>
      <w:pPr>
        <w:pStyle w:val="Normal"/>
        <w:jc w:val="center"/>
        <w:rPr/>
      </w:pPr>
      <w:r>
        <w:rPr>
          <w:i/>
          <w:sz w:val="20"/>
        </w:rPr>
        <w:t>Figura 8. Vista materializada productos_caros_pcategoria + índice único pcpc_id y nota de REFRESH.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Fuentes: indices.sql; vistas.sql; vistasMaterializadas.sql; informe_mediciones.md; informe_resolucion4.2B.md; specs/.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Berlin Sans FB Demi">
    <w:charset w:val="01"/>
    <w:family w:val="swiss"/>
    <w:pitch w:val="variable"/>
  </w:font>
  <w:font w:name="Google Sans"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Roboto Mono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974"/>
        </w:tabs>
        <w:ind w:start="197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34"/>
        </w:tabs>
        <w:ind w:start="233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94"/>
        </w:tabs>
        <w:ind w:start="269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54"/>
        </w:tabs>
        <w:ind w:start="305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14"/>
        </w:tabs>
        <w:ind w:start="341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74"/>
        </w:tabs>
        <w:ind w:start="377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34"/>
        </w:tabs>
        <w:ind w:start="413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94"/>
        </w:tabs>
        <w:ind w:start="449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54"/>
        </w:tabs>
        <w:ind w:start="4854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b w:val="false"/>
      <w:i w:val="false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i w:val="false"/>
      <w:color w:val="1F3B63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 w:default="1">
    <w:name w:val="normal1"/>
    <w:qFormat/>
    <w:pPr>
      <w:widowControl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uliiirnr-hash/TP2_BD2/tree/master/u1tp1" TargetMode="External"/><Relationship Id="rId3" Type="http://schemas.openxmlformats.org/officeDocument/2006/relationships/hyperlink" Target="https://github.com/juliiirnr-hash/TP2_BD2/tree/master/u1tp2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github.com/juliiirnr-hash/TP2_BD2/tree/master/u2tp3" TargetMode="External"/><Relationship Id="rId15" Type="http://schemas.openxmlformats.org/officeDocument/2006/relationships/hyperlink" Target="https://github.com/juliiirnr-hash/TP2_BD2/tree/master/u2tp4" TargetMode="Externa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s://github.com/juliiirnr-hash/TP2_BD2/tree/master/u3tp5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19</Pages>
  <Words>3421</Words>
  <Characters>20527</Characters>
  <CharactersWithSpaces>23567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2026-09-22T22:27:59Z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