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pBdr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</w:rPr>
      </w:pPr>
      <w:bookmarkStart w:id="0" w:name="_2walwum4vidk"/>
      <w:bookmarkEnd w:id="0"/>
      <w:r>
        <w:rPr>
          <w:color w:val="0B3D63"/>
          <w:sz w:val="26"/>
          <w:szCs w:val="26"/>
        </w:rPr>
        <w:t>Trabajo Práctico Integrador (TPI)</w:t>
      </w:r>
    </w:p>
    <w:p>
      <w:pPr>
        <w:pStyle w:val="normal1"/>
        <w:pBdr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  <w:sz w:val="26"/>
          <w:szCs w:val="26"/>
        </w:rPr>
      </w:r>
    </w:p>
    <w:p>
      <w:pPr>
        <w:pStyle w:val="normal1"/>
        <w:pBdr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  <w:sz w:val="26"/>
          <w:szCs w:val="26"/>
        </w:rPr>
      </w:pPr>
      <w:r>
        <w:rPr>
          <w:rFonts w:eastAsia="Google Sans" w:cs="Google Sans" w:ascii="Google Sans" w:hAnsi="Google Sans"/>
          <w:color w:val="1F1F1F"/>
          <w:sz w:val="26"/>
          <w:szCs w:val="26"/>
        </w:rPr>
        <w:t>Link al repositorio de los trabajos 1 y 2:</w:t>
      </w:r>
    </w:p>
    <w:p>
      <w:pPr>
        <w:pStyle w:val="normal1"/>
        <w:numPr>
          <w:ilvl w:val="0"/>
          <w:numId w:val="11"/>
        </w:numPr>
        <w:pBdr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  <w:sz w:val="26"/>
          <w:szCs w:val="26"/>
        </w:rPr>
      </w:pPr>
      <w:hyperlink r:id="rId2">
        <w:r>
          <w:rPr>
            <w:rStyle w:val="Hyperlink"/>
            <w:rFonts w:eastAsia="Google Sans" w:cs="Google Sans" w:ascii="Google Sans" w:hAnsi="Google Sans"/>
            <w:color w:val="3465A4"/>
            <w:sz w:val="26"/>
            <w:szCs w:val="26"/>
          </w:rPr>
          <w:t>https://github.com/juliiirnr-hash/TP2_BD2/tree/master/u1tp1</w:t>
        </w:r>
      </w:hyperlink>
    </w:p>
    <w:p>
      <w:pPr>
        <w:pStyle w:val="normal1"/>
        <w:numPr>
          <w:ilvl w:val="0"/>
          <w:numId w:val="11"/>
        </w:numPr>
        <w:pBdr/>
        <w:spacing w:lineRule="auto" w:line="288" w:before="0" w:after="160"/>
        <w:jc w:val="center"/>
        <w:rPr/>
      </w:pPr>
      <w:hyperlink r:id="rId3">
        <w:r>
          <w:rPr>
            <w:rStyle w:val="Hyperlink"/>
            <w:rFonts w:eastAsia="Google Sans" w:cs="Google Sans" w:ascii="Google Sans" w:hAnsi="Google Sans"/>
            <w:color w:val="3465A4"/>
            <w:sz w:val="26"/>
            <w:szCs w:val="26"/>
          </w:rPr>
          <w:t>https://github.com/juliiirnr-hash/TP2_BD2/tree/master/u1tp2</w:t>
        </w:r>
      </w:hyperlink>
    </w:p>
    <w:p>
      <w:pPr>
        <w:pStyle w:val="normal1"/>
        <w:pBdr/>
        <w:spacing w:lineRule="auto" w:line="288" w:before="0" w:after="160"/>
        <w:jc w:val="center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  <w:sz w:val="26"/>
          <w:szCs w:val="26"/>
        </w:rPr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1. Qué elementos implementaron en la Unidad 1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Modelado Entidad-Relación (ER):</w:t>
      </w:r>
    </w:p>
    <w:p>
      <w:pPr>
        <w:pStyle w:val="normal1"/>
        <w:spacing w:lineRule="auto" w:line="276" w:before="0" w:after="240"/>
        <w:rPr>
          <w:color w:val="1F1F1F"/>
        </w:rPr>
      </w:pPr>
      <w:r>
        <w:rPr>
          <w:color w:val="1F1F1F"/>
        </w:rPr>
        <w:t xml:space="preserve">Para dar respuesta a los requerimientos del dominio de </w:t>
      </w:r>
      <w:r>
        <w:rPr>
          <w:i/>
          <w:iCs/>
          <w:color w:val="1F1F1F"/>
        </w:rPr>
        <w:t>Food Store</w:t>
      </w:r>
      <w:r>
        <w:rPr>
          <w:color w:val="1F1F1F"/>
        </w:rPr>
        <w:t xml:space="preserve">, se diseñó el </w:t>
      </w:r>
      <w:r>
        <w:rPr>
          <w:b/>
          <w:bCs/>
          <w:color w:val="1F1F1F"/>
        </w:rPr>
        <w:t>Modelo Entidad-Relación (ER)</w:t>
      </w:r>
      <w:r>
        <w:rPr>
          <w:color w:val="1F1F1F"/>
        </w:rPr>
        <w:t xml:space="preserve"> reflejado en la </w:t>
      </w:r>
      <w:r>
        <w:rPr>
          <w:b/>
          <w:bCs/>
          <w:color w:val="1F1F1F"/>
        </w:rPr>
        <w:t>Figura 1</w:t>
      </w:r>
      <w:r>
        <w:rPr>
          <w:color w:val="1F1F1F"/>
        </w:rPr>
        <w:t>. El modelo abstrae la arquitectura de datos mediante cinco entidades clave (</w:t>
      </w:r>
      <w:r>
        <w:rPr>
          <w:color w:val="188038"/>
        </w:rPr>
        <w:t>USUARIO</w:t>
      </w:r>
      <w:r>
        <w:rPr>
          <w:color w:val="1F1F1F"/>
        </w:rPr>
        <w:t xml:space="preserve">, </w:t>
      </w:r>
      <w:r>
        <w:rPr>
          <w:color w:val="188038"/>
        </w:rPr>
        <w:t>CATEGORIA</w:t>
      </w:r>
      <w:r>
        <w:rPr>
          <w:color w:val="1F1F1F"/>
        </w:rPr>
        <w:t xml:space="preserve">, </w:t>
      </w:r>
      <w:r>
        <w:rPr>
          <w:color w:val="188038"/>
        </w:rPr>
        <w:t>PRODUCTO</w:t>
      </w:r>
      <w:r>
        <w:rPr>
          <w:color w:val="1F1F1F"/>
        </w:rPr>
        <w:t xml:space="preserve">, </w:t>
      </w:r>
      <w:r>
        <w:rPr>
          <w:color w:val="188038"/>
        </w:rPr>
        <w:t>PEDIDO</w:t>
      </w:r>
      <w:r>
        <w:rPr>
          <w:color w:val="1F1F1F"/>
        </w:rPr>
        <w:t xml:space="preserve"> y </w:t>
      </w:r>
      <w:r>
        <w:rPr>
          <w:color w:val="188038"/>
        </w:rPr>
        <w:t>DETALLE_PEDIDO</w:t>
      </w:r>
      <w:r>
        <w:rPr>
          <w:color w:val="1F1F1F"/>
        </w:rPr>
        <w:t>), estableciendo las siguientes reglas conceptuales de diseño:</w:t>
      </w:r>
    </w:p>
    <w:p>
      <w:pPr>
        <w:pStyle w:val="normal1"/>
        <w:numPr>
          <w:ilvl w:val="0"/>
          <w:numId w:val="10"/>
        </w:numPr>
        <w:spacing w:lineRule="auto" w:line="276" w:before="0" w:afterAutospacing="0" w:after="0"/>
        <w:ind w:hanging="360" w:start="720"/>
        <w:rPr>
          <w:color w:val="1F1F1F"/>
        </w:rPr>
      </w:pPr>
      <w:r>
        <w:rPr>
          <w:b/>
          <w:bCs/>
          <w:color w:val="1F1F1F"/>
        </w:rPr>
        <w:t>Resolución de la relación $N:M$ (Pedido - Producto):</w:t>
      </w:r>
      <w:r>
        <w:rPr>
          <w:color w:val="1F1F1F"/>
        </w:rPr>
        <w:t xml:space="preserve"> La compra de productos dentro de una orden se modela a través de la entidad intermedia/asociativa </w:t>
      </w:r>
      <w:r>
        <w:rPr>
          <w:color w:val="188038"/>
        </w:rPr>
        <w:t>DETALLE_PEDIDO</w:t>
      </w:r>
      <w:r>
        <w:rPr>
          <w:color w:val="1F1F1F"/>
        </w:rPr>
        <w:t xml:space="preserve">. Esto permite preservar la trazabilidad histórica de las ventas congelando el </w:t>
      </w:r>
      <w:r>
        <w:rPr>
          <w:color w:val="188038"/>
        </w:rPr>
        <w:t>precio_unitario</w:t>
      </w:r>
      <w:r>
        <w:rPr>
          <w:color w:val="1F1F1F"/>
        </w:rPr>
        <w:t xml:space="preserve">, calculando el </w:t>
      </w:r>
      <w:r>
        <w:rPr>
          <w:color w:val="188038"/>
        </w:rPr>
        <w:t>subtotal</w:t>
      </w:r>
      <w:r>
        <w:rPr>
          <w:color w:val="1F1F1F"/>
        </w:rPr>
        <w:t xml:space="preserve"> por ítem y registrando la </w:t>
      </w:r>
      <w:r>
        <w:rPr>
          <w:color w:val="188038"/>
        </w:rPr>
        <w:t>cantidad</w:t>
      </w:r>
      <w:r>
        <w:rPr>
          <w:color w:val="1F1F1F"/>
        </w:rPr>
        <w:t xml:space="preserve"> vendida, datos que se perderían en una relación binaria directa $1:N$.</w:t>
      </w:r>
    </w:p>
    <w:p>
      <w:pPr>
        <w:pStyle w:val="normal1"/>
        <w:numPr>
          <w:ilvl w:val="0"/>
          <w:numId w:val="10"/>
        </w:numPr>
        <w:spacing w:lineRule="auto" w:line="276" w:before="0" w:afterAutospacing="0" w:after="0"/>
        <w:ind w:hanging="360" w:start="720"/>
        <w:rPr>
          <w:color w:val="1F1F1F"/>
        </w:rPr>
      </w:pPr>
      <w:r>
        <w:rPr>
          <w:b/>
          <w:bCs/>
          <w:color w:val="1F1F1F"/>
        </w:rPr>
        <w:t>Definición de Participación y Cardinalidad:</w:t>
      </w:r>
    </w:p>
    <w:p>
      <w:pPr>
        <w:pStyle w:val="normal1"/>
        <w:numPr>
          <w:ilvl w:val="1"/>
          <w:numId w:val="10"/>
        </w:numPr>
        <w:spacing w:lineRule="auto" w:line="276" w:before="0" w:afterAutospacing="0" w:after="0"/>
        <w:ind w:hanging="360" w:start="1440"/>
        <w:rPr>
          <w:color w:val="1F1F1F"/>
        </w:rPr>
      </w:pPr>
      <w:r>
        <w:rPr>
          <w:color w:val="188038"/>
        </w:rPr>
        <w:t>CATEGORIA</w:t>
      </w:r>
      <w:r>
        <w:rPr>
          <w:color w:val="1F1F1F"/>
        </w:rPr>
        <w:t xml:space="preserve"> $\rightarrow$ </w:t>
      </w:r>
      <w:r>
        <w:rPr>
          <w:color w:val="188038"/>
        </w:rPr>
        <w:t>PRODUCTO</w:t>
      </w:r>
      <w:r>
        <w:rPr>
          <w:color w:val="1F1F1F"/>
        </w:rPr>
        <w:t xml:space="preserve"> ($1:N$): La categoría posee participación parcial (pueden existir categorías sin productos asignados), mientras que la participación de </w:t>
      </w:r>
      <w:r>
        <w:rPr>
          <w:color w:val="188038"/>
        </w:rPr>
        <w:t>PRODUCTO</w:t>
      </w:r>
      <w:r>
        <w:rPr>
          <w:color w:val="1F1F1F"/>
        </w:rPr>
        <w:t xml:space="preserve"> es total (</w:t>
      </w:r>
      <w:r>
        <w:rPr>
          <w:color w:val="188038"/>
        </w:rPr>
        <w:t>id_categoria</w:t>
      </w:r>
      <w:r>
        <w:rPr>
          <w:color w:val="1F1F1F"/>
        </w:rPr>
        <w:t xml:space="preserve"> obligatorio).</w:t>
      </w:r>
    </w:p>
    <w:p>
      <w:pPr>
        <w:pStyle w:val="normal1"/>
        <w:numPr>
          <w:ilvl w:val="1"/>
          <w:numId w:val="10"/>
        </w:numPr>
        <w:spacing w:lineRule="auto" w:line="276" w:before="0" w:afterAutospacing="0" w:after="0"/>
        <w:ind w:hanging="360" w:start="1440"/>
        <w:rPr>
          <w:color w:val="1F1F1F"/>
        </w:rPr>
      </w:pPr>
      <w:r>
        <w:rPr>
          <w:color w:val="188038"/>
        </w:rPr>
        <w:t>USUARIO</w:t>
      </w:r>
      <w:r>
        <w:rPr>
          <w:color w:val="1F1F1F"/>
        </w:rPr>
        <w:t xml:space="preserve"> $\rightarrow$ </w:t>
      </w:r>
      <w:r>
        <w:rPr>
          <w:color w:val="188038"/>
        </w:rPr>
        <w:t>PEDIDO</w:t>
      </w:r>
      <w:r>
        <w:rPr>
          <w:color w:val="1F1F1F"/>
        </w:rPr>
        <w:t xml:space="preserve"> ($1:N$): Un usuario puede realizar múltiples pedidos, existiendo una participación total por parte del pedido.</w:t>
      </w:r>
    </w:p>
    <w:p>
      <w:pPr>
        <w:pStyle w:val="normal1"/>
        <w:numPr>
          <w:ilvl w:val="1"/>
          <w:numId w:val="10"/>
        </w:numPr>
        <w:spacing w:lineRule="auto" w:line="276" w:before="0" w:afterAutospacing="0" w:after="0"/>
        <w:ind w:hanging="360" w:start="1440"/>
        <w:rPr>
          <w:color w:val="1F1F1F"/>
        </w:rPr>
      </w:pPr>
      <w:r>
        <w:rPr>
          <w:color w:val="188038"/>
        </w:rPr>
        <w:t>PEDIDO</w:t>
      </w:r>
      <w:r>
        <w:rPr>
          <w:color w:val="1F1F1F"/>
        </w:rPr>
        <w:t xml:space="preserve"> $\rightarrow$ </w:t>
      </w:r>
      <w:r>
        <w:rPr>
          <w:color w:val="188038"/>
        </w:rPr>
        <w:t>DETALLE_PEDIDO</w:t>
      </w:r>
      <w:r>
        <w:rPr>
          <w:color w:val="1F1F1F"/>
        </w:rPr>
        <w:t xml:space="preserve"> ($1:N$): Relación de composición donde la existencia de la línea de detalle depende estrictamente de la orden de compra.</w:t>
      </w:r>
    </w:p>
    <w:p>
      <w:pPr>
        <w:pStyle w:val="normal1"/>
        <w:numPr>
          <w:ilvl w:val="0"/>
          <w:numId w:val="10"/>
        </w:numPr>
        <w:spacing w:lineRule="auto" w:line="276" w:before="0" w:afterAutospacing="0" w:after="0"/>
        <w:ind w:hanging="360" w:start="720"/>
        <w:rPr>
          <w:color w:val="1F1F1F"/>
        </w:rPr>
      </w:pPr>
      <w:r>
        <w:rPr>
          <w:b/>
          <w:bCs/>
          <w:color w:val="1F1F1F"/>
        </w:rPr>
        <w:t>Atributos de Auditoría y Estado:</w:t>
      </w:r>
      <w:r>
        <w:rPr>
          <w:color w:val="1F1F1F"/>
        </w:rPr>
        <w:t xml:space="preserve"> Todas las entidades incorporan la columna </w:t>
      </w:r>
      <w:r>
        <w:rPr>
          <w:color w:val="188038"/>
        </w:rPr>
        <w:t>eliminado</w:t>
      </w:r>
      <w:r>
        <w:rPr>
          <w:color w:val="1F1F1F"/>
        </w:rPr>
        <w:t xml:space="preserve"> (boolean) para dar soporte al estándar de borrado lógico (</w:t>
      </w:r>
      <w:r>
        <w:rPr>
          <w:i/>
          <w:iCs/>
          <w:color w:val="1F1F1F"/>
        </w:rPr>
        <w:t>soft delete</w:t>
      </w:r>
      <w:r>
        <w:rPr>
          <w:color w:val="1F1F1F"/>
        </w:rPr>
        <w:t xml:space="preserve">) y la marca de tiempo </w:t>
      </w:r>
      <w:r>
        <w:rPr>
          <w:color w:val="188038"/>
        </w:rPr>
        <w:t>created_at</w:t>
      </w:r>
      <w:r>
        <w:rPr>
          <w:color w:val="1F1F1F"/>
        </w:rPr>
        <w:t xml:space="preserve"> (</w:t>
      </w:r>
      <w:r>
        <w:rPr>
          <w:color w:val="188038"/>
        </w:rPr>
        <w:t>timestamptz</w:t>
      </w:r>
      <w:r>
        <w:rPr>
          <w:color w:val="1F1F1F"/>
        </w:rPr>
        <w:t>) para auditoría de creación.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>
          <w:rFonts w:eastAsia="Google Sans" w:cs="Google Sans" w:ascii="Google Sans" w:hAnsi="Google Sans"/>
          <w:color w:val="1F1F1F"/>
          <w:u w:val="none"/>
        </w:rPr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1.</w:t>
      </w:r>
      <w:r>
        <w:rPr>
          <w:rFonts w:eastAsia="Google Sans" w:cs="Google Sans" w:ascii="Google Sans" w:hAnsi="Google Sans"/>
          <w:color w:val="1F1F1F"/>
        </w:rPr>
        <w:t xml:space="preserve"> Diagrama Entidad-Relación conceptual para el sistema Food Store, detallando entidades, claves primarias (</w:t>
      </w:r>
      <w:r>
        <w:rPr>
          <w:rFonts w:eastAsia="Roboto Mono" w:cs="Roboto Mono" w:ascii="Roboto Mono" w:hAnsi="Roboto Mono"/>
          <w:color w:val="188038"/>
        </w:rPr>
        <w:t>PK</w:t>
      </w:r>
      <w:r>
        <w:rPr>
          <w:rFonts w:eastAsia="Google Sans" w:cs="Google Sans" w:ascii="Google Sans" w:hAnsi="Google Sans"/>
          <w:color w:val="1F1F1F"/>
        </w:rPr>
        <w:t>), claves foráneas (</w:t>
      </w:r>
      <w:r>
        <w:rPr>
          <w:rFonts w:eastAsia="Roboto Mono" w:cs="Roboto Mono" w:ascii="Roboto Mono" w:hAnsi="Roboto Mono"/>
          <w:color w:val="188038"/>
        </w:rPr>
        <w:t>FK</w:t>
      </w:r>
      <w:r>
        <w:rPr>
          <w:rFonts w:eastAsia="Google Sans" w:cs="Google Sans" w:ascii="Google Sans" w:hAnsi="Google Sans"/>
          <w:color w:val="1F1F1F"/>
        </w:rPr>
        <w:t xml:space="preserve">), atributos atómicos y relaciones de cardinalidad </w:t>
      </w:r>
    </w:p>
    <w:p>
      <w:pPr>
        <w:pStyle w:val="normal1"/>
        <w:numPr>
          <w:ilvl w:val="1"/>
          <w:numId w:val="2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/>
        <w:drawing>
          <wp:inline distT="0" distB="0" distL="0" distR="0">
            <wp:extent cx="4333875" cy="7448550"/>
            <wp:effectExtent l="0" t="0" r="0" b="0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44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Normalización y Derivación Relacional:</w:t>
      </w:r>
    </w:p>
    <w:p>
      <w:pPr>
        <w:pStyle w:val="normal1"/>
        <w:numPr>
          <w:ilvl w:val="1"/>
          <w:numId w:val="3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Transformación de una planilla de datos históricos desnormalizada hacia un modelo relacional en BCNF (Forma Normal de Boyce-Codd).</w:t>
      </w:r>
    </w:p>
    <w:p>
      <w:pPr>
        <w:pStyle w:val="normal1"/>
        <w:numPr>
          <w:ilvl w:val="1"/>
          <w:numId w:val="3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Justificación de dependencias funcionales para eliminar redundancias y evitar anomalías de actualización o borrado (pasando progresivamente de 1FN a 2FN, 3FN y BCNF).</w:t>
      </w:r>
    </w:p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1"/>
        <w:tblW w:w="316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3165"/>
      </w:tblGrid>
      <w:tr>
        <w:trPr>
          <w:trHeight w:val="270" w:hRule="atLeast"/>
        </w:trPr>
        <w:tc>
          <w:tcPr>
            <w:tcW w:w="3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nombre_usuario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apellido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mail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celular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contraseña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rol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31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2"/>
        <w:tblW w:w="289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895"/>
      </w:tblGrid>
      <w:tr>
        <w:trPr>
          <w:trHeight w:val="270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nombre_categoria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descripcion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3"/>
        <w:tblW w:w="289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895"/>
      </w:tblGrid>
      <w:tr>
        <w:trPr>
          <w:trHeight w:val="270" w:hRule="atLeast"/>
        </w:trPr>
        <w:tc>
          <w:tcPr>
            <w:tcW w:w="2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PEDIDO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id_pedido (PK)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fecha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Id_usuario (FK)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forma_pago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8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100" w:end="100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tbl>
      <w:tblPr>
        <w:tblStyle w:val="Table4"/>
        <w:tblW w:w="2610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610"/>
      </w:tblGrid>
      <w:tr>
        <w:trPr>
          <w:trHeight w:val="270" w:hRule="atLeast"/>
        </w:trPr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PRODUCTO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id_producto (PK)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nombre_producto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precio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descripcion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stock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imagen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disponible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Id_categoria (FK)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6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spacing w:lineRule="auto" w:line="276" w:before="0" w:after="20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 </w:t>
      </w:r>
    </w:p>
    <w:tbl>
      <w:tblPr>
        <w:tblStyle w:val="Table5"/>
        <w:tblW w:w="2745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2745"/>
      </w:tblGrid>
      <w:tr>
        <w:trPr>
          <w:trHeight w:val="270" w:hRule="atLeast"/>
        </w:trPr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DETALLE_PEDIDO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id_detalle (PK)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cantidad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precio_unitario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subtotal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id_pedido (FK)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id_producto (FK)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eliminado</w:t>
            </w:r>
          </w:p>
        </w:tc>
      </w:tr>
      <w:tr>
        <w:trPr>
          <w:trHeight w:val="270" w:hRule="atLeast"/>
        </w:trPr>
        <w:tc>
          <w:tcPr>
            <w:tcW w:w="27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eastAsia="Google Sans" w:cs="Google Sans" w:ascii="Google Sans" w:hAnsi="Google Sans"/>
                <w:color w:val="1F1F1F"/>
              </w:rPr>
              <w:t>created_at</w:t>
            </w:r>
          </w:p>
        </w:tc>
      </w:tr>
    </w:tbl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DDL Inicial y Esquema en PostgreSQL (schema.sql):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Creación de tipos enumerados (rol_usuario, estado_pedido, forma_pago).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Estructura de tablas mediante tipos de datos precisos (GENERATED ALWAYS AS IDENTITY, VARCHAR, NUMERIC, TIMESTAMPTZ).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Definición de reglas de integridad referencial y de dominio mediante CHECK (precios =&gt; 0, stock =&gt; 0, cantidad &gt; 0), UNIQUE (mail, nombre_categoria, e id_pedido + id_producto) y comportamientos de claves foráneas (ON DELETE RESTRICT / CASCADE).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Implementación del estándar de borrado lógico (</w:t>
      </w:r>
      <w:r>
        <w:rPr>
          <w:rFonts w:eastAsia="Google Sans" w:cs="Google Sans" w:ascii="Google Sans" w:hAnsi="Google Sans"/>
          <w:i/>
          <w:iCs/>
          <w:color w:val="1F1F1F"/>
        </w:rPr>
        <w:t>soft delete</w:t>
      </w:r>
      <w:r>
        <w:rPr>
          <w:rFonts w:eastAsia="Google Sans" w:cs="Google Sans" w:ascii="Google Sans" w:hAnsi="Google Sans"/>
          <w:color w:val="1F1F1F"/>
        </w:rPr>
        <w:t>) mediante la bandera eliminado BOOLEAN.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>Creación de índices iniciales e índices parciales filtrados (WHERE eliminado = FALSE)</w:t>
      </w:r>
    </w:p>
    <w:p>
      <w:pPr>
        <w:pStyle w:val="normal1"/>
        <w:numPr>
          <w:ilvl w:val="1"/>
          <w:numId w:val="4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2.</w:t>
      </w:r>
      <w:r>
        <w:rPr>
          <w:rFonts w:eastAsia="Google Sans" w:cs="Google Sans" w:ascii="Google Sans" w:hAnsi="Google Sans"/>
          <w:color w:val="1F1F1F"/>
        </w:rPr>
        <w:t xml:space="preserve"> Árbol de objetos en el SGBD PostgreSQL mostrando la creación de las tablas del sistema Food Store en el esquema </w:t>
      </w:r>
      <w:r>
        <w:rPr>
          <w:rFonts w:eastAsia="Roboto Mono" w:cs="Roboto Mono" w:ascii="Roboto Mono" w:hAnsi="Roboto Mono"/>
          <w:color w:val="188038"/>
        </w:rPr>
        <w:t>public</w:t>
      </w:r>
      <w:r>
        <w:rPr>
          <w:rFonts w:eastAsia="Google Sans" w:cs="Google Sans" w:ascii="Google Sans" w:hAnsi="Google Sans"/>
          <w:color w:val="1F1F1F"/>
        </w:rPr>
        <w:t xml:space="preserve">. </w:t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2867025" cy="15716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3.</w:t>
      </w:r>
      <w:r>
        <w:rPr>
          <w:rFonts w:eastAsia="Google Sans" w:cs="Google Sans" w:ascii="Google Sans" w:hAnsi="Google Sans"/>
          <w:color w:val="1F1F1F"/>
        </w:rPr>
        <w:t xml:space="preserve"> Detalle de columnas de la entidad </w:t>
      </w:r>
      <w:r>
        <w:rPr>
          <w:rFonts w:eastAsia="Roboto Mono" w:cs="Roboto Mono" w:ascii="Roboto Mono" w:hAnsi="Roboto Mono"/>
          <w:color w:val="188038"/>
        </w:rPr>
        <w:t>producto</w:t>
      </w:r>
      <w:r>
        <w:rPr>
          <w:rFonts w:eastAsia="Google Sans" w:cs="Google Sans" w:ascii="Google Sans" w:hAnsi="Google Sans"/>
          <w:color w:val="1F1F1F"/>
        </w:rPr>
        <w:t xml:space="preserve">, evidenciando la tipificación de datos, la marca de tiempo </w:t>
      </w:r>
      <w:r>
        <w:rPr>
          <w:rFonts w:eastAsia="Roboto Mono" w:cs="Roboto Mono" w:ascii="Roboto Mono" w:hAnsi="Roboto Mono"/>
          <w:color w:val="188038"/>
        </w:rPr>
        <w:t>TIMESTAMPTZ</w:t>
      </w:r>
      <w:r>
        <w:rPr>
          <w:rFonts w:eastAsia="Google Sans" w:cs="Google Sans" w:ascii="Google Sans" w:hAnsi="Google Sans"/>
          <w:color w:val="1F1F1F"/>
        </w:rPr>
        <w:t xml:space="preserve"> y la columna </w:t>
      </w:r>
      <w:r>
        <w:rPr>
          <w:rFonts w:eastAsia="Roboto Mono" w:cs="Roboto Mono" w:ascii="Roboto Mono" w:hAnsi="Roboto Mono"/>
          <w:color w:val="188038"/>
        </w:rPr>
        <w:t>eliminado</w:t>
      </w:r>
      <w:r>
        <w:rPr>
          <w:rFonts w:eastAsia="Google Sans" w:cs="Google Sans" w:ascii="Google Sans" w:hAnsi="Google Sans"/>
          <w:color w:val="1F1F1F"/>
        </w:rPr>
        <w:t xml:space="preserve"> para borrado lógico. </w:t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3700145" cy="2336165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3.</w:t>
      </w:r>
      <w:r>
        <w:rPr>
          <w:rFonts w:eastAsia="Google Sans" w:cs="Google Sans" w:ascii="Google Sans" w:hAnsi="Google Sans"/>
          <w:color w:val="1F1F1F"/>
        </w:rPr>
        <w:t xml:space="preserve"> Árbol de restricciones (</w:t>
      </w:r>
      <w:r>
        <w:rPr>
          <w:rFonts w:eastAsia="Roboto Mono" w:cs="Roboto Mono" w:ascii="Roboto Mono" w:hAnsi="Roboto Mono"/>
          <w:color w:val="188038"/>
        </w:rPr>
        <w:t>CHECK</w:t>
      </w:r>
      <w:r>
        <w:rPr>
          <w:rFonts w:eastAsia="Google Sans" w:cs="Google Sans" w:ascii="Google Sans" w:hAnsi="Google Sans"/>
          <w:color w:val="1F1F1F"/>
        </w:rPr>
        <w:t xml:space="preserve">, </w:t>
      </w:r>
      <w:r>
        <w:rPr>
          <w:rFonts w:eastAsia="Roboto Mono" w:cs="Roboto Mono" w:ascii="Roboto Mono" w:hAnsi="Roboto Mono"/>
          <w:color w:val="188038"/>
        </w:rPr>
        <w:t>NOT NULL</w:t>
      </w:r>
      <w:r>
        <w:rPr>
          <w:rFonts w:eastAsia="Google Sans" w:cs="Google Sans" w:ascii="Google Sans" w:hAnsi="Google Sans"/>
          <w:color w:val="1F1F1F"/>
        </w:rPr>
        <w:t xml:space="preserve">, </w:t>
      </w:r>
      <w:r>
        <w:rPr>
          <w:rFonts w:eastAsia="Roboto Mono" w:cs="Roboto Mono" w:ascii="Roboto Mono" w:hAnsi="Roboto Mono"/>
          <w:color w:val="188038"/>
        </w:rPr>
        <w:t>PK</w:t>
      </w:r>
      <w:r>
        <w:rPr>
          <w:rFonts w:eastAsia="Google Sans" w:cs="Google Sans" w:ascii="Google Sans" w:hAnsi="Google Sans"/>
          <w:color w:val="1F1F1F"/>
        </w:rPr>
        <w:t xml:space="preserve">) aplicadas sobre la entidad </w:t>
      </w:r>
      <w:r>
        <w:rPr>
          <w:rFonts w:eastAsia="Roboto Mono" w:cs="Roboto Mono" w:ascii="Roboto Mono" w:hAnsi="Roboto Mono"/>
          <w:color w:val="188038"/>
        </w:rPr>
        <w:t>producto</w:t>
      </w:r>
      <w:r>
        <w:rPr>
          <w:rFonts w:eastAsia="Google Sans" w:cs="Google Sans" w:ascii="Google Sans" w:hAnsi="Google Sans"/>
          <w:color w:val="1F1F1F"/>
        </w:rPr>
        <w:t xml:space="preserve"> para preservar la integridad de dominio en el SGBD. </w:t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641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3491230" cy="244094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244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Google Sans" w:cs="Google Sans" w:ascii="Google Sans" w:hAnsi="Google Sans"/>
          <w:color w:val="1F1F1F"/>
        </w:rPr>
        <w:t>.</w:t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2. Cómo probamos su funcionamiento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Sintaxis y compilación en SGBD:</w:t>
      </w:r>
      <w:r>
        <w:rPr>
          <w:rFonts w:eastAsia="Google Sans" w:cs="Google Sans" w:ascii="Google Sans" w:hAnsi="Google Sans"/>
          <w:color w:val="1F1F1F"/>
        </w:rPr>
        <w:t xml:space="preserve"> Ejecución directa del script schema.sql sobre una instancia de PostgreSQL para verificar que no existieran errores de sintaxis, dependencias de claves foráneas mal ordenadas o tipos incompatibles.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Validación de restricciones:</w:t>
      </w:r>
      <w:r>
        <w:rPr>
          <w:rFonts w:eastAsia="Google Sans" w:cs="Google Sans" w:ascii="Google Sans" w:hAnsi="Google Sans"/>
          <w:color w:val="1F1F1F"/>
        </w:rPr>
        <w:t xml:space="preserve"> Inserción de filas de prueba para constatar que las restricciones CHECK impidan valores inválidos (por ejemplo, stock o precios negativos) y que la restricción UNIQUE evite duplicados en correos o líneas de detalle repetidas para un mismo pedido.</w:t>
      </w:r>
    </w:p>
    <w:p>
      <w:pPr>
        <w:pStyle w:val="normal1"/>
        <w:pBdr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4.</w:t>
      </w:r>
      <w:r>
        <w:rPr>
          <w:rFonts w:eastAsia="Google Sans" w:cs="Google Sans" w:ascii="Google Sans" w:hAnsi="Google Sans"/>
          <w:color w:val="1F1F1F"/>
        </w:rPr>
        <w:t xml:space="preserve"> </w:t>
      </w:r>
      <w:r>
        <w:rPr>
          <w:rFonts w:eastAsia="Google Sans" w:cs="Google Sans" w:ascii="Google Sans" w:hAnsi="Google Sans"/>
          <w:i/>
          <w:iCs/>
          <w:color w:val="1F1F1F"/>
        </w:rPr>
        <w:t xml:space="preserve">Prueba de la restricción </w:t>
      </w:r>
      <w:r>
        <w:rPr>
          <w:rFonts w:eastAsia="Roboto Mono" w:cs="Roboto Mono" w:ascii="Roboto Mono" w:hAnsi="Roboto Mono"/>
          <w:i/>
          <w:iCs/>
          <w:color w:val="188038"/>
        </w:rPr>
        <w:t>CHECK</w:t>
      </w:r>
      <w:r>
        <w:rPr>
          <w:rFonts w:eastAsia="Google Sans" w:cs="Google Sans" w:ascii="Google Sans" w:hAnsi="Google Sans"/>
          <w:i/>
          <w:iCs/>
          <w:color w:val="1F1F1F"/>
        </w:rPr>
        <w:t xml:space="preserve"> (</w:t>
      </w:r>
      <w:r>
        <w:rPr>
          <w:rFonts w:eastAsia="Roboto Mono" w:cs="Roboto Mono" w:ascii="Roboto Mono" w:hAnsi="Roboto Mono"/>
          <w:i/>
          <w:iCs/>
          <w:color w:val="188038"/>
        </w:rPr>
        <w:t>producto_precio_check</w:t>
      </w:r>
      <w:r>
        <w:rPr>
          <w:rFonts w:eastAsia="Google Sans" w:cs="Google Sans" w:ascii="Google Sans" w:hAnsi="Google Sans"/>
          <w:i/>
          <w:iCs/>
          <w:color w:val="1F1F1F"/>
        </w:rPr>
        <w:t>) mediante el intento de inserción de un precio negativo (</w:t>
      </w:r>
      <w:r>
        <w:rPr>
          <w:rFonts w:eastAsia="Roboto Mono" w:cs="Roboto Mono" w:ascii="Roboto Mono" w:hAnsi="Roboto Mono"/>
          <w:i/>
          <w:iCs/>
          <w:color w:val="188038"/>
        </w:rPr>
        <w:t>-150.00</w:t>
      </w:r>
      <w:r>
        <w:rPr>
          <w:rFonts w:eastAsia="Google Sans" w:cs="Google Sans" w:ascii="Google Sans" w:hAnsi="Google Sans"/>
          <w:i/>
          <w:iCs/>
          <w:color w:val="1F1F1F"/>
        </w:rPr>
        <w:t>), evidenciando el bloqueo de la operación por parte del SGBD para preservar la integridad de los datos.</w:t>
      </w:r>
      <w:r>
        <w:rPr>
          <w:rFonts w:eastAsia="Google Sans" w:cs="Google Sans" w:ascii="Google Sans" w:hAnsi="Google Sans"/>
          <w:color w:val="1F1F1F"/>
        </w:rPr>
        <w:t xml:space="preserve"> </w:t>
      </w:r>
    </w:p>
    <w:p>
      <w:pPr>
        <w:pStyle w:val="normal1"/>
        <w:pBdr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5943600" cy="266700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color w:val="1F1F1F"/>
          <w:sz w:val="22"/>
          <w:szCs w:val="22"/>
        </w:rPr>
        <w:t>Figura 5</w:t>
      </w:r>
      <w:r>
        <w:rPr>
          <w:b w:val="false"/>
          <w:bCs w:val="false"/>
          <w:color w:val="1F1F1F"/>
          <w:sz w:val="22"/>
          <w:szCs w:val="22"/>
        </w:rPr>
        <w:t xml:space="preserve">. Prueba de la restricción de unicidad </w:t>
      </w:r>
      <w:r>
        <w:rPr>
          <w:b w:val="false"/>
          <w:bCs w:val="false"/>
          <w:color w:val="188038"/>
          <w:sz w:val="22"/>
          <w:szCs w:val="22"/>
        </w:rPr>
        <w:t>UNIQUE</w:t>
      </w:r>
      <w:r>
        <w:rPr>
          <w:b w:val="false"/>
          <w:bCs w:val="false"/>
          <w:color w:val="1F1F1F"/>
          <w:sz w:val="22"/>
          <w:szCs w:val="22"/>
        </w:rPr>
        <w:t xml:space="preserve"> (</w:t>
      </w:r>
      <w:r>
        <w:rPr>
          <w:b w:val="false"/>
          <w:bCs w:val="false"/>
          <w:color w:val="188038"/>
          <w:sz w:val="22"/>
          <w:szCs w:val="22"/>
        </w:rPr>
        <w:t>usuario_mail_key</w:t>
      </w:r>
      <w:r>
        <w:rPr>
          <w:b w:val="false"/>
          <w:bCs w:val="false"/>
          <w:color w:val="1F1F1F"/>
          <w:sz w:val="22"/>
          <w:szCs w:val="22"/>
        </w:rPr>
        <w:t>) mediante el intento de inserción de un usuario con un correo electrónico previamente registrado (</w:t>
      </w:r>
      <w:r>
        <w:rPr>
          <w:b w:val="false"/>
          <w:bCs w:val="false"/>
          <w:color w:val="188038"/>
          <w:sz w:val="22"/>
          <w:szCs w:val="22"/>
        </w:rPr>
        <w:t>usuario@prueba.com</w:t>
      </w:r>
      <w:r>
        <w:rPr>
          <w:b w:val="false"/>
          <w:bCs w:val="false"/>
          <w:color w:val="1F1F1F"/>
          <w:sz w:val="22"/>
          <w:szCs w:val="22"/>
        </w:rPr>
        <w:t>), evidenciando el bloqueo automático de PostgreSQL para garantizar que no existan cuentas duplicadas</w:t>
      </w:r>
      <w:r>
        <w:rPr>
          <w:color w:val="1F1F1F"/>
        </w:rPr>
        <w:t xml:space="preserve">. </w:t>
      </w:r>
    </w:p>
    <w:p>
      <w:pPr>
        <w:pStyle w:val="Heading3"/>
        <w:numPr>
          <w:ilvl w:val="0"/>
          <w:numId w:val="6"/>
        </w:numPr>
        <w:pBdr/>
        <w:spacing w:lineRule="auto" w:line="276" w:before="0" w:after="0"/>
        <w:ind w:hanging="360" w:start="590"/>
        <w:rPr/>
      </w:pPr>
      <w:bookmarkStart w:id="1" w:name="_haagm16v73se"/>
      <w:bookmarkEnd w:id="1"/>
      <w:r>
        <w:rPr/>
        <w:drawing>
          <wp:inline distT="0" distB="0" distL="0" distR="0">
            <wp:extent cx="5943600" cy="2057400"/>
            <wp:effectExtent l="0" t="0" r="0" b="0"/>
            <wp:docPr id="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5943600" cy="234950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6.</w:t>
      </w:r>
      <w:r>
        <w:rPr>
          <w:rFonts w:eastAsia="Google Sans" w:cs="Google Sans" w:ascii="Google Sans" w:hAnsi="Google Sans"/>
          <w:color w:val="1F1F1F"/>
        </w:rPr>
        <w:t xml:space="preserve"> </w:t>
      </w:r>
      <w:r>
        <w:rPr>
          <w:rFonts w:eastAsia="Google Sans" w:cs="Google Sans" w:ascii="Google Sans" w:hAnsi="Google Sans"/>
          <w:i/>
          <w:iCs/>
          <w:color w:val="1F1F1F"/>
        </w:rPr>
        <w:t xml:space="preserve">Prueba de integridad referencial </w:t>
      </w:r>
      <w:r>
        <w:rPr>
          <w:rFonts w:eastAsia="Roboto Mono" w:cs="Roboto Mono" w:ascii="Roboto Mono" w:hAnsi="Roboto Mono"/>
          <w:i/>
          <w:iCs/>
          <w:color w:val="188038"/>
        </w:rPr>
        <w:t>ON DELETE RESTRICT</w:t>
      </w:r>
      <w:r>
        <w:rPr>
          <w:rFonts w:eastAsia="Google Sans" w:cs="Google Sans" w:ascii="Google Sans" w:hAnsi="Google Sans"/>
          <w:i/>
          <w:iCs/>
          <w:color w:val="1F1F1F"/>
        </w:rPr>
        <w:t xml:space="preserve"> sobre la clave foránea </w:t>
      </w:r>
      <w:r>
        <w:rPr>
          <w:rFonts w:eastAsia="Roboto Mono" w:cs="Roboto Mono" w:ascii="Roboto Mono" w:hAnsi="Roboto Mono"/>
          <w:i/>
          <w:iCs/>
          <w:color w:val="188038"/>
        </w:rPr>
        <w:t>producto_id_categoria_fkey</w:t>
      </w:r>
      <w:r>
        <w:rPr>
          <w:rFonts w:eastAsia="Google Sans" w:cs="Google Sans" w:ascii="Google Sans" w:hAnsi="Google Sans"/>
          <w:i/>
          <w:iCs/>
          <w:color w:val="1F1F1F"/>
        </w:rPr>
        <w:t>, evidenciando que el SGBD bloquea la eliminación física de una categoría activa (</w:t>
      </w:r>
      <w:r>
        <w:rPr>
          <w:rFonts w:eastAsia="Roboto Mono" w:cs="Roboto Mono" w:ascii="Roboto Mono" w:hAnsi="Roboto Mono"/>
          <w:i/>
          <w:iCs/>
          <w:color w:val="188038"/>
        </w:rPr>
        <w:t>id_categoria = 1</w:t>
      </w:r>
      <w:r>
        <w:rPr>
          <w:rFonts w:eastAsia="Google Sans" w:cs="Google Sans" w:ascii="Google Sans" w:hAnsi="Google Sans"/>
          <w:i/>
          <w:iCs/>
          <w:color w:val="1F1F1F"/>
        </w:rPr>
        <w:t>) que posee productos asociados para evitar datos huérfanos.</w:t>
      </w:r>
      <w:r>
        <w:rPr>
          <w:rFonts w:eastAsia="Google Sans" w:cs="Google Sans" w:ascii="Google Sans" w:hAnsi="Google Sans"/>
          <w:color w:val="1F1F1F"/>
        </w:rPr>
        <w:t xml:space="preserve"> </w:t>
      </w:r>
    </w:p>
    <w:p>
      <w:pPr>
        <w:pStyle w:val="normal1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5943600" cy="2552700"/>
            <wp:effectExtent l="0" t="0" r="0" b="0"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 Qué resultados obtuvimos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color w:val="1F1F1F"/>
        </w:rPr>
        <w:t>Un esquema de base de datos relacional robusto, consistente y libre de redundancias (normalizado hasta BCNF).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color w:val="1F1F1F"/>
        </w:rPr>
        <w:t>Un script DDL funcional y modularizado (schema.sql) listo para servir como cimiento sobre el cual construir los objetos avanzados del TP 2 (funciones, vistas, triggers y transacciones).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276"/>
        <w:ind w:hanging="360" w:start="590"/>
        <w:rPr>
          <w:rFonts w:ascii="Google Sans" w:hAnsi="Google Sans" w:eastAsia="Google Sans" w:cs="Google Sans"/>
          <w:color w:val="1F1F1F"/>
          <w:u w:val="none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7.</w:t>
      </w:r>
      <w:r>
        <w:rPr>
          <w:rFonts w:eastAsia="Google Sans" w:cs="Google Sans" w:ascii="Google Sans" w:hAnsi="Google Sans"/>
          <w:color w:val="1F1F1F"/>
        </w:rPr>
        <w:t xml:space="preserve"> Ejecución de la consulta </w:t>
      </w:r>
      <w:r>
        <w:rPr>
          <w:rFonts w:eastAsia="Roboto Mono" w:cs="Roboto Mono" w:ascii="Roboto Mono" w:hAnsi="Roboto Mono"/>
          <w:color w:val="188038"/>
        </w:rPr>
        <w:t>SELECT * FROM producto;</w:t>
      </w:r>
      <w:r>
        <w:rPr>
          <w:rFonts w:eastAsia="Google Sans" w:cs="Google Sans" w:ascii="Google Sans" w:hAnsi="Google Sans"/>
          <w:color w:val="1F1F1F"/>
        </w:rPr>
        <w:t>, evidenciando el correcto almacenamiento de los registros de prueba y la aplicación automática de los valores por defecto definidos en el DDL (</w:t>
      </w:r>
      <w:r>
        <w:rPr>
          <w:rFonts w:eastAsia="Roboto Mono" w:cs="Roboto Mono" w:ascii="Roboto Mono" w:hAnsi="Roboto Mono"/>
          <w:color w:val="188038"/>
        </w:rPr>
        <w:t>disponible = TRUE</w:t>
      </w:r>
      <w:r>
        <w:rPr>
          <w:rFonts w:eastAsia="Google Sans" w:cs="Google Sans" w:ascii="Google Sans" w:hAnsi="Google Sans"/>
          <w:color w:val="1F1F1F"/>
        </w:rPr>
        <w:t xml:space="preserve">, </w:t>
      </w:r>
      <w:r>
        <w:rPr>
          <w:rFonts w:eastAsia="Roboto Mono" w:cs="Roboto Mono" w:ascii="Roboto Mono" w:hAnsi="Roboto Mono"/>
          <w:color w:val="188038"/>
        </w:rPr>
        <w:t>eliminado = FALSE</w:t>
      </w:r>
      <w:r>
        <w:rPr>
          <w:rFonts w:eastAsia="Google Sans" w:cs="Google Sans" w:ascii="Google Sans" w:hAnsi="Google Sans"/>
          <w:color w:val="1F1F1F"/>
        </w:rPr>
        <w:t xml:space="preserve"> y </w:t>
      </w:r>
      <w:r>
        <w:rPr>
          <w:rFonts w:eastAsia="Roboto Mono" w:cs="Roboto Mono" w:ascii="Roboto Mono" w:hAnsi="Roboto Mono"/>
          <w:color w:val="188038"/>
        </w:rPr>
        <w:t>created_at</w:t>
      </w:r>
      <w:r>
        <w:rPr>
          <w:rFonts w:eastAsia="Google Sans" w:cs="Google Sans" w:ascii="Google Sans" w:hAnsi="Google Sans"/>
          <w:color w:val="1F1F1F"/>
        </w:rPr>
        <w:t xml:space="preserve"> con </w:t>
      </w:r>
      <w:r>
        <w:rPr>
          <w:rFonts w:eastAsia="Roboto Mono" w:cs="Roboto Mono" w:ascii="Roboto Mono" w:hAnsi="Roboto Mono"/>
          <w:color w:val="188038"/>
        </w:rPr>
        <w:t>TIMESTAMPTZ</w:t>
      </w:r>
      <w:r>
        <w:rPr>
          <w:rFonts w:eastAsia="Google Sans" w:cs="Google Sans" w:ascii="Google Sans" w:hAnsi="Google Sans"/>
          <w:color w:val="1F1F1F"/>
        </w:rPr>
        <w:t xml:space="preserve">). </w:t>
      </w:r>
    </w:p>
    <w:p>
      <w:pPr>
        <w:pStyle w:val="normal1"/>
        <w:pBdr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/>
        <w:drawing>
          <wp:inline distT="0" distB="0" distL="0" distR="0">
            <wp:extent cx="5943600" cy="2844800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Bdr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pBdr/>
        <w:shd w:val="clear" w:fill="auto"/>
        <w:spacing w:lineRule="auto" w:line="276"/>
        <w:ind w:hanging="0" w:start="59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4. Qué consultas optimizaron y qué diferencias encontraron antes y después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Optimización en el diseño de índices:</w:t>
      </w:r>
    </w:p>
    <w:p>
      <w:pPr>
        <w:pStyle w:val="normal1"/>
        <w:numPr>
          <w:ilvl w:val="1"/>
          <w:numId w:val="8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color w:val="1F1F1F"/>
        </w:rPr>
        <w:t xml:space="preserve">Se configuró un </w:t>
      </w:r>
      <w:r>
        <w:rPr>
          <w:rFonts w:eastAsia="Google Sans" w:cs="Google Sans" w:ascii="Google Sans" w:hAnsi="Google Sans"/>
          <w:b/>
          <w:bCs/>
          <w:color w:val="1F1F1F"/>
        </w:rPr>
        <w:t>índice parcial</w:t>
      </w:r>
      <w:r>
        <w:rPr>
          <w:rFonts w:eastAsia="Google Sans" w:cs="Google Sans" w:ascii="Google Sans" w:hAnsi="Google Sans"/>
          <w:color w:val="1F1F1F"/>
        </w:rPr>
        <w:t xml:space="preserve"> sobre la tabla producto (CREATE INDEX idx_producto_categoria ON producto(id_categoria) WHERE eliminado = FALSE;).</w:t>
      </w:r>
    </w:p>
    <w:p>
      <w:pPr>
        <w:pStyle w:val="normal1"/>
        <w:numPr>
          <w:ilvl w:val="1"/>
          <w:numId w:val="8"/>
        </w:numPr>
        <w:pBdr/>
        <w:shd w:val="clear" w:fill="auto"/>
        <w:spacing w:lineRule="auto" w:line="276"/>
        <w:ind w:hanging="360" w:start="641"/>
        <w:rPr/>
      </w:pPr>
      <w:r>
        <w:rPr>
          <w:rFonts w:eastAsia="Google Sans" w:cs="Google Sans" w:ascii="Google Sans" w:hAnsi="Google Sans"/>
          <w:b/>
          <w:bCs/>
          <w:color w:val="1F1F1F"/>
        </w:rPr>
        <w:t>Diferencia observada:</w:t>
      </w:r>
      <w:r>
        <w:rPr>
          <w:rFonts w:eastAsia="Google Sans" w:cs="Google Sans" w:ascii="Google Sans" w:hAnsi="Google Sans"/>
          <w:color w:val="1F1F1F"/>
        </w:rPr>
        <w:t xml:space="preserve"> A diferencia de un índice global que mantiene punteros a todos los registros (incluyendo los inactivos/borrados), el índice parcial reduce el tamaño en disco y memoria del árbol de búsqueda B-Tree, optimizando el rendimiento de las lecturas habituales sobre el catálogo activo.</w:t>
      </w:r>
    </w:p>
    <w:p>
      <w:pPr>
        <w:pStyle w:val="normal1"/>
        <w:numPr>
          <w:ilvl w:val="1"/>
          <w:numId w:val="8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>
          <w:rFonts w:eastAsia="Google Sans" w:cs="Google Sans" w:ascii="Google Sans" w:hAnsi="Google Sans"/>
          <w:b/>
          <w:bCs/>
          <w:color w:val="1F1F1F"/>
        </w:rPr>
        <w:t>Figura 8.</w:t>
      </w:r>
      <w:r>
        <w:rPr>
          <w:rFonts w:eastAsia="Google Sans" w:cs="Google Sans" w:ascii="Google Sans" w:hAnsi="Google Sans"/>
          <w:color w:val="1F1F1F"/>
        </w:rPr>
        <w:t xml:space="preserve"> Verificación del índice parcial </w:t>
      </w:r>
      <w:r>
        <w:rPr>
          <w:rFonts w:eastAsia="Roboto Mono" w:cs="Roboto Mono" w:ascii="Roboto Mono" w:hAnsi="Roboto Mono"/>
          <w:color w:val="188038"/>
        </w:rPr>
        <w:t>idx_producto_categoria</w:t>
      </w:r>
      <w:r>
        <w:rPr>
          <w:rFonts w:eastAsia="Google Sans" w:cs="Google Sans" w:ascii="Google Sans" w:hAnsi="Google Sans"/>
          <w:color w:val="1F1F1F"/>
        </w:rPr>
        <w:t xml:space="preserve"> mediante la vista de catálogo </w:t>
      </w:r>
      <w:r>
        <w:rPr>
          <w:rFonts w:eastAsia="Roboto Mono" w:cs="Roboto Mono" w:ascii="Roboto Mono" w:hAnsi="Roboto Mono"/>
          <w:color w:val="188038"/>
        </w:rPr>
        <w:t>pg_indexes</w:t>
      </w:r>
      <w:r>
        <w:rPr>
          <w:rFonts w:eastAsia="Google Sans" w:cs="Google Sans" w:ascii="Google Sans" w:hAnsi="Google Sans"/>
          <w:color w:val="1F1F1F"/>
        </w:rPr>
        <w:t xml:space="preserve">, donde se evidencia la restricción condicional </w:t>
      </w:r>
      <w:r>
        <w:rPr>
          <w:rFonts w:eastAsia="Roboto Mono" w:cs="Roboto Mono" w:ascii="Roboto Mono" w:hAnsi="Roboto Mono"/>
          <w:color w:val="188038"/>
        </w:rPr>
        <w:t>WHERE (eliminado = false)</w:t>
      </w:r>
      <w:r>
        <w:rPr>
          <w:rFonts w:eastAsia="Google Sans" w:cs="Google Sans" w:ascii="Google Sans" w:hAnsi="Google Sans"/>
          <w:color w:val="1F1F1F"/>
        </w:rPr>
        <w:t xml:space="preserve"> que optimiza el tamaño de la estructura B-Tree y acelera las consultas sobre el catálogo de productos activos. </w:t>
      </w:r>
    </w:p>
    <w:p>
      <w:pPr>
        <w:pStyle w:val="normal1"/>
        <w:numPr>
          <w:ilvl w:val="1"/>
          <w:numId w:val="8"/>
        </w:numPr>
        <w:pBdr/>
        <w:shd w:val="clear" w:fill="auto"/>
        <w:spacing w:lineRule="auto" w:line="276"/>
        <w:ind w:hanging="360" w:start="641"/>
        <w:rPr>
          <w:rFonts w:ascii="Google Sans" w:hAnsi="Google Sans" w:eastAsia="Google Sans" w:cs="Google Sans"/>
          <w:color w:val="1F1F1F"/>
          <w:u w:val="none"/>
        </w:rPr>
      </w:pPr>
      <w:r>
        <w:rPr/>
        <w:drawing>
          <wp:inline distT="0" distB="0" distL="0" distR="0">
            <wp:extent cx="5943600" cy="2882900"/>
            <wp:effectExtent l="0" t="0" r="0" b="0"/>
            <wp:docPr id="1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pBdr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5. Uso de herramientas de IA (si aplica)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Finalidad:</w:t>
      </w:r>
      <w:r>
        <w:rPr>
          <w:rFonts w:eastAsia="Google Sans" w:cs="Google Sans" w:ascii="Google Sans" w:hAnsi="Google Sans"/>
          <w:color w:val="1F1F1F"/>
        </w:rPr>
        <w:t xml:space="preserve"> Asistencia para la verificación de dependencias funcionales durante el proceso de normalización y el formateo de sintaxis DDL nativa para PostgreSQL.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Decisiones aceptadas:</w:t>
      </w:r>
      <w:r>
        <w:rPr>
          <w:rFonts w:eastAsia="Google Sans" w:cs="Google Sans" w:ascii="Google Sans" w:hAnsi="Google Sans"/>
          <w:color w:val="1F1F1F"/>
        </w:rPr>
        <w:t xml:space="preserve"> Uso de tipos enumerados nativos (ENUM) para reemplazar campos de texto libre en estados y roles.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276"/>
        <w:ind w:hanging="360" w:start="590"/>
        <w:rPr/>
      </w:pPr>
      <w:r>
        <w:rPr>
          <w:rFonts w:eastAsia="Google Sans" w:cs="Google Sans" w:ascii="Google Sans" w:hAnsi="Google Sans"/>
          <w:b/>
          <w:bCs/>
          <w:color w:val="1F1F1F"/>
        </w:rPr>
        <w:t>Decisiones descartadas:</w:t>
      </w:r>
      <w:r>
        <w:rPr>
          <w:rFonts w:eastAsia="Google Sans" w:cs="Google Sans" w:ascii="Google Sans" w:hAnsi="Google Sans"/>
          <w:color w:val="1F1F1F"/>
        </w:rPr>
        <w:t xml:space="preserve"> Cualquier propuesta de omitir la tabla intermedia DETALLE_PEDIDO o calcular subtotales únicamente en tiempo de ejecución de forma volátil, priorizando la conservación del histórico de ventas y precios.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oogle Sans">
    <w:charset w:val="00" w:characterSet="windows-1252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0" w:characterSet="windows-1252"/>
    <w:family w:val="roman"/>
    <w:pitch w:val="variable"/>
    <w:embedRegular r:id="rId9" w:fontKey="{09014A78-CABC-4EF0-12AC-5CD89AEFDE09}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  <w:embedRegular r:id="rId10" w:fontKey="{0A014A78-CABC-4EF0-12AC-5CD89AEFDE0A}"/>
    <w:embedBold r:id="rId11" w:fontKey="{0B014A78-CABC-4EF0-12AC-5CD89AEFDE0B}"/>
  </w:font>
  <w:font w:name="Wingdings 2">
    <w:charset w:val="02"/>
    <w:family w:val="auto"/>
    <w:pitch w:val="default"/>
    <w:embedRegular r:id="rId12" w:fontKey="{0C014A78-CABC-4EF0-12AC-5CD89AEFDE0C}"/>
    <w:embedBold r:id="rId13" w:fontKey="{0D014A78-CABC-4EF0-12AC-5CD89AEFDE0D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641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59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974"/>
        </w:tabs>
        <w:ind w:start="197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334"/>
        </w:tabs>
        <w:ind w:start="233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694"/>
        </w:tabs>
        <w:ind w:start="269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054"/>
        </w:tabs>
        <w:ind w:start="305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414"/>
        </w:tabs>
        <w:ind w:start="341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774"/>
        </w:tabs>
        <w:ind w:start="377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134"/>
        </w:tabs>
        <w:ind w:start="413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494"/>
        </w:tabs>
        <w:ind w:start="449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854"/>
        </w:tabs>
        <w:ind w:start="4854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A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uliiirnr-hash/TP2_BD2/tree/master/u1tp1" TargetMode="External"/><Relationship Id="rId3" Type="http://schemas.openxmlformats.org/officeDocument/2006/relationships/hyperlink" Target="https://github.com/juliiirnr-hash/TP2_BD2/tree/master/u1tp2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9</Pages>
  <Words>1027</Words>
  <Characters>6266</Characters>
  <CharactersWithSpaces>7178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2026-09-22T22:10:24Z</dcterms:modified>
  <cp:revision>1</cp:revision>
  <dc:subject/>
  <dc:title/>
</cp:coreProperties>
</file>