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84"/>
        <w:gridCol w:w="1474"/>
        <w:gridCol w:w="1612"/>
        <w:gridCol w:w="1535"/>
        <w:gridCol w:w="1559"/>
        <w:gridCol w:w="2122"/>
      </w:tblGrid>
      <w:tr w:rsidR="00BE4249" w14:paraId="6C3467DB" w14:textId="77777777">
        <w:trPr>
          <w:trHeight w:val="943"/>
          <w:jc w:val="center"/>
        </w:trPr>
        <w:tc>
          <w:tcPr>
            <w:tcW w:w="97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2391B" w14:textId="77777777" w:rsidR="00BE4249" w:rsidRDefault="00000000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  <w:szCs w:val="28"/>
              </w:rPr>
              <w:t>附表一：</w:t>
            </w:r>
          </w:p>
          <w:p w14:paraId="3C859866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员工月度辅导记录表</w:t>
            </w:r>
          </w:p>
        </w:tc>
      </w:tr>
      <w:tr w:rsidR="00BE4249" w14:paraId="03C66BCC" w14:textId="77777777">
        <w:trPr>
          <w:trHeight w:val="587"/>
          <w:jc w:val="center"/>
        </w:trPr>
        <w:tc>
          <w:tcPr>
            <w:tcW w:w="1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11E7E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员工姓名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B8AD6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巨力　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9FD06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岗位名称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C9B62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嵌入式网络软件研发工程师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1CE06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所在部门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9AAB3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交换机项目组　</w:t>
            </w:r>
          </w:p>
        </w:tc>
      </w:tr>
      <w:tr w:rsidR="00BE4249" w14:paraId="5CEB15C5" w14:textId="77777777">
        <w:trPr>
          <w:trHeight w:val="587"/>
          <w:jc w:val="center"/>
        </w:trPr>
        <w:tc>
          <w:tcPr>
            <w:tcW w:w="14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2319F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入职日期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689AA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2022.05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FDA0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转正日期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DA5D0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2022.11.30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E95D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导师姓名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7599" w14:textId="77777777" w:rsidR="00BE4249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唐昊</w:t>
            </w:r>
          </w:p>
        </w:tc>
      </w:tr>
      <w:tr w:rsidR="00BE4249" w14:paraId="23BCA43D" w14:textId="77777777">
        <w:trPr>
          <w:trHeight w:val="683"/>
          <w:jc w:val="center"/>
        </w:trPr>
        <w:tc>
          <w:tcPr>
            <w:tcW w:w="14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F0055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辅导阶段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C8794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辅导内容</w:t>
            </w:r>
          </w:p>
        </w:tc>
        <w:tc>
          <w:tcPr>
            <w:tcW w:w="3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3CA5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预计达成目标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52D6F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验收标准</w:t>
            </w:r>
          </w:p>
        </w:tc>
      </w:tr>
      <w:tr w:rsidR="00BE4249" w14:paraId="0B1C36FD" w14:textId="77777777">
        <w:trPr>
          <w:trHeight w:val="3681"/>
          <w:jc w:val="center"/>
        </w:trPr>
        <w:tc>
          <w:tcPr>
            <w:tcW w:w="14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58960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1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个月</w:t>
            </w:r>
          </w:p>
        </w:tc>
        <w:tc>
          <w:tcPr>
            <w:tcW w:w="30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3EE91" w14:textId="77777777" w:rsidR="00BE4249" w:rsidRDefault="00000000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公司文化学习，部门规范学习（编码规范，开发规范等）；</w:t>
            </w:r>
          </w:p>
          <w:p w14:paraId="00042C33" w14:textId="77777777" w:rsidR="00BE4249" w:rsidRDefault="00000000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部门学习资料学习，包括网络基础和编码基础；</w:t>
            </w:r>
          </w:p>
          <w:p w14:paraId="3B205188" w14:textId="77777777" w:rsidR="00BE4249" w:rsidRDefault="00000000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工具学习，git，gerrit和部门代码编译；</w:t>
            </w:r>
          </w:p>
          <w:p w14:paraId="61E4A04D" w14:textId="77777777" w:rsidR="00BE4249" w:rsidRDefault="00000000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设备基本操作，升级，端口配置，VLAN配置，MAC地址查询；</w:t>
            </w:r>
          </w:p>
          <w:p w14:paraId="1AE6A622" w14:textId="77777777" w:rsidR="00BE4249" w:rsidRDefault="00000000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端口资料学习，学习802.3中有关传输介质和端口形态的相关标准，从网上搜索交换机端口相关资料进行学习；</w:t>
            </w:r>
          </w:p>
          <w:p w14:paraId="1D801901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564C0D1C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3E9FCB88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134FEA83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7BE46FB7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059EAE4E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33918C53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12983" w14:textId="77777777" w:rsidR="00BE4249" w:rsidRDefault="00000000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了解部门研发规范；</w:t>
            </w:r>
          </w:p>
          <w:p w14:paraId="1A626CDF" w14:textId="77777777" w:rsidR="00BE4249" w:rsidRDefault="00000000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了解网络基本转发原理，编码基础熟悉；</w:t>
            </w:r>
          </w:p>
          <w:p w14:paraId="4CF7583D" w14:textId="77777777" w:rsidR="00BE4249" w:rsidRDefault="00000000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掌握git和gerrit基本用法；</w:t>
            </w:r>
          </w:p>
          <w:p w14:paraId="480102F6" w14:textId="77777777" w:rsidR="00BE4249" w:rsidRDefault="00000000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能够独立编译部门代码；</w:t>
            </w:r>
          </w:p>
          <w:p w14:paraId="69DB794C" w14:textId="77777777" w:rsidR="00BE4249" w:rsidRDefault="00000000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能够对设备升级以及基本配置；</w:t>
            </w:r>
          </w:p>
          <w:p w14:paraId="23C941F6" w14:textId="77777777" w:rsidR="00BE4249" w:rsidRDefault="00000000">
            <w:pPr>
              <w:widowControl/>
              <w:numPr>
                <w:ilvl w:val="0"/>
                <w:numId w:val="2"/>
              </w:numPr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对常见的端口形态和传输介质有一定的认识和理解；</w:t>
            </w:r>
          </w:p>
          <w:p w14:paraId="7AF43CAD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06C8AF8A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5C02E9D1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76D0E8F7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4786371A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02FCC587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363280CB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3C0CB" w14:textId="77777777" w:rsidR="00BE4249" w:rsidRDefault="00000000">
            <w:pPr>
              <w:widowControl/>
              <w:numPr>
                <w:ilvl w:val="0"/>
                <w:numId w:val="3"/>
              </w:num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网络基础通过提问的方式检验，内容包括：基本的转发流程，2层流和3层流在交换机中的转发行为能阐述，功能术语能够解释；2.编码基础通过审核工作中的代码进行考核，看有无遵守编码规范；3. 通过提问然后在设备上操作的方式进行检验，内容包括：能够使用git和gerrit常用命令(参考文档《(02)Connect系统 代码仓库-1.0》)；4. 通过提问然后在设备上操作的方式进行检验，内容包括：能够根据《(00)刷机和升级指南-1.3》文档完成对设备的升级，能够配置端口开关，将端口连接测试仪并打流，根据提问完成正确的VLAN以及成员配置，能够通过仪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器发送数据流学习规定数量的MAC地址；5.通过提问的方式，在黑板上讲解常见的端口形态和传输介质的特征和区别。</w:t>
            </w:r>
          </w:p>
          <w:p w14:paraId="3B87FC72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  <w:p w14:paraId="6AEC6CF1" w14:textId="77777777" w:rsidR="00BE4249" w:rsidRDefault="00BE4249">
            <w:pPr>
              <w:widowControl/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BE4249" w14:paraId="25212827" w14:textId="77777777">
        <w:trPr>
          <w:trHeight w:val="2682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64EDE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实际完成情况</w:t>
            </w: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C7503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员工总结</w:t>
            </w:r>
          </w:p>
        </w:tc>
        <w:tc>
          <w:tcPr>
            <w:tcW w:w="830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C3141" w14:textId="5FE42F8A" w:rsidR="00BE4249" w:rsidRDefault="00521D74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本月</w:t>
            </w:r>
            <w:r w:rsidR="00851B2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先对网络基础转发原理和编码规范进行了学习掌握。然后对git以及</w:t>
            </w: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gerrit</w:t>
            </w:r>
            <w:r w:rsidR="00881FE4"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工具的</w:t>
            </w:r>
            <w:r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基本用法进行了学习使用，掌握了它们的</w:t>
            </w:r>
            <w:r w:rsidR="00B90098"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使用方法。通过对代码系统的学习，能够独立编译部门代码以及完成对交换机设备的升级和</w:t>
            </w:r>
            <w:r w:rsidR="00732FAE"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对交换机的</w:t>
            </w:r>
            <w:r w:rsidR="00B90098"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基础配置。最后，对端口代码进行了深入研究分析，同时学习了8</w:t>
            </w:r>
            <w:r w:rsidR="00B90098">
              <w:rPr>
                <w:rFonts w:ascii="宋体" w:eastAsia="宋体" w:hAnsi="宋体" w:cs="宋体"/>
                <w:iCs/>
                <w:color w:val="000000"/>
                <w:kern w:val="0"/>
                <w:sz w:val="24"/>
                <w:szCs w:val="24"/>
              </w:rPr>
              <w:t>02.3</w:t>
            </w:r>
            <w:r w:rsidR="00B90098"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协议端口相关知识，对</w:t>
            </w:r>
            <w:r w:rsidR="00B90098"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常见的端口形态和传输介质有一定的认识和理解</w:t>
            </w:r>
            <w:r w:rsidR="00B90098">
              <w:rPr>
                <w:rFonts w:ascii="宋体" w:eastAsia="宋体" w:hAnsi="宋体" w:cs="宋体" w:hint="eastAsia"/>
                <w:iCs/>
                <w:color w:val="000000"/>
                <w:kern w:val="0"/>
                <w:sz w:val="24"/>
                <w:szCs w:val="24"/>
              </w:rPr>
              <w:t>。</w:t>
            </w:r>
          </w:p>
          <w:p w14:paraId="2F46091F" w14:textId="77777777" w:rsidR="00BE4249" w:rsidRDefault="00BE4249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14:paraId="2CD8C7A0" w14:textId="77777777" w:rsidR="00BE4249" w:rsidRDefault="00BE424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36F050B" w14:textId="4676A14D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员工签字：</w:t>
            </w:r>
            <w:r w:rsidR="00521D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巨力</w:t>
            </w:r>
          </w:p>
        </w:tc>
      </w:tr>
      <w:tr w:rsidR="00BE4249" w14:paraId="2469FACE" w14:textId="77777777">
        <w:trPr>
          <w:trHeight w:val="2088"/>
          <w:jc w:val="center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E19A4" w14:textId="77777777" w:rsidR="00BE4249" w:rsidRDefault="00BE4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A6845" w14:textId="77777777" w:rsidR="00BE4249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导师评价</w:t>
            </w:r>
          </w:p>
        </w:tc>
        <w:tc>
          <w:tcPr>
            <w:tcW w:w="83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07EE1AE" w14:textId="77777777" w:rsidR="00BE4249" w:rsidRDefault="00000000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员工能够按照本月的辅导内容合理分配时间，入职之后能在较短的时间之内熟悉和搭建研发环境。接下来通过阅读部门资料熟悉交换机的代码框架，能够完成代码编译和在线升级。最后是进行端口模块的学习，包括协议、代码和sdk，能够讲解常见的端口形态和传输介质的特征和区别，能够描述代码和sdk的工作原理。</w:t>
            </w:r>
          </w:p>
          <w:p w14:paraId="5EA4960B" w14:textId="77777777" w:rsidR="00BE4249" w:rsidRDefault="00BE424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6B1D08EC" w14:textId="77777777" w:rsidR="00BE4249" w:rsidRDefault="00BE424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53EC3946" w14:textId="77777777" w:rsidR="00BE4249" w:rsidRDefault="00BE424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285E0FDE" w14:textId="77777777" w:rsidR="00BE4249" w:rsidRDefault="00BE4249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3B937E88" w14:textId="77777777" w:rsidR="00BE4249" w:rsidRDefault="00000000">
            <w:pPr>
              <w:ind w:left="4092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导师签字：唐昊</w:t>
            </w:r>
          </w:p>
        </w:tc>
      </w:tr>
      <w:tr w:rsidR="00BE4249" w14:paraId="4D5477BE" w14:textId="77777777">
        <w:trPr>
          <w:trHeight w:val="753"/>
          <w:jc w:val="center"/>
        </w:trPr>
        <w:tc>
          <w:tcPr>
            <w:tcW w:w="97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76AAF" w14:textId="77777777" w:rsidR="00BE4249" w:rsidRDefault="0000000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综合管理部存档</w:t>
            </w:r>
          </w:p>
        </w:tc>
      </w:tr>
      <w:tr w:rsidR="00BE4249" w14:paraId="76B75265" w14:textId="77777777">
        <w:trPr>
          <w:trHeight w:val="1067"/>
          <w:jc w:val="center"/>
        </w:trPr>
        <w:tc>
          <w:tcPr>
            <w:tcW w:w="97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28865" w14:textId="77777777" w:rsidR="00BE4249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填表说明：此表根据新员工试用期时长，每月一份，月末员工和导师签字后交综合管理部存档。</w:t>
            </w:r>
          </w:p>
        </w:tc>
      </w:tr>
    </w:tbl>
    <w:p w14:paraId="71E0E65F" w14:textId="77777777" w:rsidR="00BE4249" w:rsidRDefault="00BE4249"/>
    <w:sectPr w:rsidR="00BE424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7070" w14:textId="77777777" w:rsidR="00E509CA" w:rsidRDefault="00E509CA">
      <w:r>
        <w:separator/>
      </w:r>
    </w:p>
  </w:endnote>
  <w:endnote w:type="continuationSeparator" w:id="0">
    <w:p w14:paraId="11C9E754" w14:textId="77777777" w:rsidR="00E509CA" w:rsidRDefault="00E5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33A62" w14:textId="77777777" w:rsidR="00E509CA" w:rsidRDefault="00E509CA">
      <w:r>
        <w:separator/>
      </w:r>
    </w:p>
  </w:footnote>
  <w:footnote w:type="continuationSeparator" w:id="0">
    <w:p w14:paraId="403FB79D" w14:textId="77777777" w:rsidR="00E509CA" w:rsidRDefault="00E50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E280E" w14:textId="77777777" w:rsidR="00BE4249" w:rsidRDefault="00000000">
    <w:pPr>
      <w:pStyle w:val="a4"/>
      <w:jc w:val="right"/>
    </w:pPr>
    <w:r>
      <w:rPr>
        <w:b/>
        <w:noProof/>
        <w:sz w:val="38"/>
      </w:rPr>
      <w:drawing>
        <wp:inline distT="0" distB="0" distL="114300" distR="114300" wp14:anchorId="25865B5F" wp14:editId="2E6C0CB3">
          <wp:extent cx="975360" cy="408940"/>
          <wp:effectExtent l="0" t="0" r="0" b="2540"/>
          <wp:docPr id="7" name="图片 1" descr="C:\Users\wwlh\Pictures\LOGO\微网力合B.png微网力合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 descr="C:\Users\wwlh\Pictures\LOGO\微网力合B.png微网力合B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360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999D85"/>
    <w:multiLevelType w:val="singleLevel"/>
    <w:tmpl w:val="9C999D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11A2340"/>
    <w:multiLevelType w:val="singleLevel"/>
    <w:tmpl w:val="B11A234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7AE507C"/>
    <w:multiLevelType w:val="singleLevel"/>
    <w:tmpl w:val="D7AE507C"/>
    <w:lvl w:ilvl="0">
      <w:start w:val="1"/>
      <w:numFmt w:val="decimal"/>
      <w:suff w:val="space"/>
      <w:lvlText w:val="%1."/>
      <w:lvlJc w:val="left"/>
    </w:lvl>
  </w:abstractNum>
  <w:num w:numId="1" w16cid:durableId="1483307227">
    <w:abstractNumId w:val="2"/>
  </w:num>
  <w:num w:numId="2" w16cid:durableId="499540235">
    <w:abstractNumId w:val="1"/>
  </w:num>
  <w:num w:numId="3" w16cid:durableId="86082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Q2OTM3OGE2MDBjNjk1ZWRiNjRjYTMxYWY5M2UxMTQifQ=="/>
  </w:docVars>
  <w:rsids>
    <w:rsidRoot w:val="00BE4249"/>
    <w:rsid w:val="00521D74"/>
    <w:rsid w:val="00732FAE"/>
    <w:rsid w:val="00851B28"/>
    <w:rsid w:val="00881FE4"/>
    <w:rsid w:val="009426CF"/>
    <w:rsid w:val="00B90098"/>
    <w:rsid w:val="00BE4249"/>
    <w:rsid w:val="00C03962"/>
    <w:rsid w:val="00E509CA"/>
    <w:rsid w:val="03D66BA6"/>
    <w:rsid w:val="182A2C84"/>
    <w:rsid w:val="1BDD0360"/>
    <w:rsid w:val="1CE06351"/>
    <w:rsid w:val="243A6664"/>
    <w:rsid w:val="25A07E95"/>
    <w:rsid w:val="44F317CD"/>
    <w:rsid w:val="567E27B9"/>
    <w:rsid w:val="5DBA3006"/>
    <w:rsid w:val="64CD54C1"/>
    <w:rsid w:val="6DE93D5E"/>
    <w:rsid w:val="6E030604"/>
    <w:rsid w:val="71BF22F9"/>
    <w:rsid w:val="73811FDE"/>
    <w:rsid w:val="7A482777"/>
    <w:rsid w:val="7CB0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3C83"/>
  <w15:docId w15:val="{02CC2814-5E9F-48D7-B376-E3443B45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wwlh</dc:creator>
  <cp:lastModifiedBy>巨</cp:lastModifiedBy>
  <cp:revision>9</cp:revision>
  <dcterms:created xsi:type="dcterms:W3CDTF">2022-05-28T10:43:00Z</dcterms:created>
  <dcterms:modified xsi:type="dcterms:W3CDTF">2022-09-15T11:35:00Z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C26450998F07479183A1C1F57D378062</vt:lpwstr>
  </property>
</Properties>
</file>